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_rels/header3.xml.rels" ContentType="application/vnd.openxmlformats-package.relationships+xml"/>
  <Override PartName="/word/_rels/header2.xml.rels" ContentType="application/vnd.openxmlformats-package.relationships+xml"/>
  <Override PartName="/word/_rels/document.xml.rels" ContentType="application/vnd.openxmlformats-package.relationships+xml"/>
  <Override PartName="/word/media/image1.png" ContentType="image/png"/>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header4.xml" ContentType="application/vnd.openxmlformats-officedocument.wordprocessingml.head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100" w:after="60"/>
        <w:rPr/>
      </w:pPr>
      <w:r>
        <w:rPr>
          <w:b/>
          <w:bCs/>
          <w:color w:val="123330"/>
          <w:sz w:val="32"/>
          <w:szCs w:val="32"/>
        </w:rPr>
        <w:t>Steuerberatungsvertrag</w:t>
      </w:r>
    </w:p>
    <w:p>
      <w:pPr>
        <w:pStyle w:val="Normal"/>
        <w:spacing w:before="0" w:after="60"/>
        <w:rPr/>
      </w:pPr>
      <w:r>
        <w:rPr>
          <w:b/>
          <w:bCs/>
          <w:i/>
          <w:iCs/>
          <w:color w:val="1F4B47"/>
          <w:sz w:val="26"/>
          <w:szCs w:val="26"/>
        </w:rPr>
        <w:t>Tax Advisory Agreement</w:t>
      </w:r>
    </w:p>
    <w:p>
      <w:pPr>
        <w:pStyle w:val="Normal"/>
        <w:spacing w:before="0" w:after="200"/>
        <w:rPr/>
      </w:pPr>
      <w:r>
        <w:rPr>
          <w:i/>
          <w:iCs/>
          <w:color w:val="667085"/>
          <w:sz w:val="18"/>
          <w:szCs w:val="18"/>
        </w:rPr>
        <w:t>für Leistungen im Rahmen von HireGermany.com  ·  for services provided through HireGermany.com</w:t>
      </w:r>
    </w:p>
    <w:p>
      <w:pPr>
        <w:pStyle w:val="Normal"/>
        <w:spacing w:before="0" w:after="200"/>
        <w:rPr/>
      </w:pPr>
      <w:r>
        <w:rPr>
          <w:i/>
          <w:iCs/>
          <w:color w:val="667085"/>
          <w:sz w:val="18"/>
          <w:szCs w:val="18"/>
        </w:rPr>
        <w:t>Stand / As of: September 2026</w:t>
      </w:r>
    </w:p>
    <w:p>
      <w:pPr>
        <w:pStyle w:val="Normal"/>
        <w:pBdr>
          <w:bottom w:val="single" w:sz="8" w:space="4" w:color="1F4B47"/>
        </w:pBdr>
        <w:spacing w:before="260" w:after="100"/>
        <w:rPr/>
      </w:pPr>
      <w:r>
        <w:rPr>
          <w:b/>
          <w:bCs/>
          <w:color w:val="1F4B47"/>
          <w:spacing w:val="20"/>
          <w:sz w:val="20"/>
          <w:szCs w:val="20"/>
        </w:rPr>
        <w:t>VERTRAGSPARTEIEN</w:t>
      </w:r>
      <w:r>
        <w:rPr>
          <w:color w:val="667085"/>
          <w:sz w:val="18"/>
          <w:szCs w:val="18"/>
        </w:rPr>
        <w:t xml:space="preserve">   /   </w:t>
      </w:r>
      <w:r>
        <w:rPr>
          <w:b/>
          <w:bCs/>
          <w:i/>
          <w:iCs/>
          <w:color w:val="1F4B47"/>
          <w:spacing w:val="20"/>
          <w:sz w:val="20"/>
          <w:szCs w:val="20"/>
        </w:rPr>
        <w:t>PARTIES</w:t>
      </w:r>
    </w:p>
    <w:tbl>
      <w:tblPr>
        <w:tblW w:w="10206" w:type="dxa"/>
        <w:jc w:val="left"/>
        <w:tblInd w:w="0" w:type="dxa"/>
        <w:tblLayout w:type="fixed"/>
        <w:tblCellMar>
          <w:top w:w="140" w:type="dxa"/>
          <w:left w:w="180" w:type="dxa"/>
          <w:bottom w:w="140" w:type="dxa"/>
          <w:right w:w="180" w:type="dxa"/>
        </w:tblCellMar>
      </w:tblPr>
      <w:tblGrid>
        <w:gridCol w:w="5103"/>
        <w:gridCol w:w="5102"/>
      </w:tblGrid>
      <w:tr>
        <w:trPr>
          <w:cantSplit w:val="true"/>
        </w:trPr>
        <w:tc>
          <w:tcPr>
            <w:tcW w:w="5103" w:type="dxa"/>
            <w:tcBorders>
              <w:top w:val="single" w:sz="2" w:space="0" w:color="D9E2E2"/>
              <w:left w:val="single" w:sz="2" w:space="0" w:color="D9E2E2"/>
              <w:bottom w:val="single" w:sz="2" w:space="0" w:color="D9E2E2"/>
              <w:right w:val="single" w:sz="2" w:space="0" w:color="D9E2E2"/>
            </w:tcBorders>
          </w:tcPr>
          <w:p>
            <w:pPr>
              <w:pStyle w:val="Normal"/>
              <w:spacing w:before="0" w:after="80"/>
              <w:rPr/>
            </w:pPr>
            <w:r>
              <w:rPr>
                <w:b/>
                <w:bCs/>
                <w:color w:val="123330"/>
                <w:sz w:val="19"/>
                <w:szCs w:val="19"/>
              </w:rPr>
              <w:t>zwischen</w:t>
            </w:r>
          </w:p>
          <w:p>
            <w:pPr>
              <w:pStyle w:val="Normal"/>
              <w:spacing w:before="0" w:after="100"/>
              <w:rPr/>
            </w:pPr>
            <w:r>
              <w:rPr>
                <w:color w:val="222222"/>
                <w:sz w:val="18"/>
                <w:szCs w:val="18"/>
              </w:rPr>
              <w:t>Suat Göydeniz &amp; Grit Birka eGbR</w:t>
            </w:r>
          </w:p>
          <w:p>
            <w:pPr>
              <w:pStyle w:val="Normal"/>
              <w:spacing w:before="0" w:after="100"/>
              <w:rPr/>
            </w:pPr>
            <w:r>
              <w:rPr>
                <w:color w:val="222222"/>
                <w:sz w:val="18"/>
                <w:szCs w:val="18"/>
              </w:rPr>
              <w:t>Manfred-von-Richthofen-Straße 4, D-12101 Berlin</w:t>
            </w:r>
          </w:p>
          <w:p>
            <w:pPr>
              <w:pStyle w:val="Normal"/>
              <w:spacing w:before="0" w:after="100"/>
              <w:rPr/>
            </w:pPr>
            <w:r>
              <w:rPr>
                <w:color w:val="222222"/>
                <w:sz w:val="18"/>
                <w:szCs w:val="18"/>
              </w:rPr>
              <w:t>vertreten durch Suat Göydeniz</w:t>
            </w:r>
          </w:p>
          <w:p>
            <w:pPr>
              <w:pStyle w:val="Normal"/>
              <w:spacing w:before="0" w:after="100"/>
              <w:rPr/>
            </w:pPr>
            <w:r>
              <w:rPr>
                <w:color w:val="667085"/>
                <w:sz w:val="18"/>
                <w:szCs w:val="18"/>
              </w:rPr>
              <w:t xml:space="preserve">— </w:t>
            </w:r>
            <w:r>
              <w:rPr>
                <w:color w:val="667085"/>
                <w:sz w:val="18"/>
                <w:szCs w:val="18"/>
              </w:rPr>
              <w:t>nachfolgend „Steuerberater“ —</w:t>
            </w:r>
          </w:p>
        </w:tc>
        <w:tc>
          <w:tcPr>
            <w:tcW w:w="5102" w:type="dxa"/>
            <w:tcBorders>
              <w:top w:val="single" w:sz="2" w:space="0" w:color="D9E2E2"/>
              <w:left w:val="single" w:sz="2" w:space="0" w:color="D9E2E2"/>
              <w:bottom w:val="single" w:sz="2" w:space="0" w:color="D9E2E2"/>
              <w:right w:val="single" w:sz="2" w:space="0" w:color="D9E2E2"/>
            </w:tcBorders>
          </w:tcPr>
          <w:p>
            <w:pPr>
              <w:pStyle w:val="Normal"/>
              <w:spacing w:before="0" w:after="80"/>
              <w:rPr/>
            </w:pPr>
            <w:r>
              <w:rPr>
                <w:b/>
                <w:bCs/>
                <w:color w:val="123330"/>
                <w:sz w:val="19"/>
                <w:szCs w:val="19"/>
              </w:rPr>
              <w:t>between</w:t>
            </w:r>
          </w:p>
          <w:p>
            <w:pPr>
              <w:pStyle w:val="Normal"/>
              <w:spacing w:before="0" w:after="100"/>
              <w:rPr/>
            </w:pPr>
            <w:r>
              <w:rPr>
                <w:color w:val="222222"/>
                <w:sz w:val="18"/>
                <w:szCs w:val="18"/>
              </w:rPr>
              <w:t>Suat Göydeniz &amp; Grit Birka eGbR</w:t>
            </w:r>
          </w:p>
          <w:p>
            <w:pPr>
              <w:pStyle w:val="Normal"/>
              <w:spacing w:before="0" w:after="100"/>
              <w:rPr/>
            </w:pPr>
            <w:r>
              <w:rPr>
                <w:color w:val="222222"/>
                <w:sz w:val="18"/>
                <w:szCs w:val="18"/>
              </w:rPr>
              <w:t>Manfred-von-Richthofen-Straße 4, D-12101 Berlin</w:t>
            </w:r>
          </w:p>
          <w:p>
            <w:pPr>
              <w:pStyle w:val="Normal"/>
              <w:spacing w:before="0" w:after="100"/>
              <w:rPr/>
            </w:pPr>
            <w:r>
              <w:rPr>
                <w:color w:val="222222"/>
                <w:sz w:val="18"/>
                <w:szCs w:val="18"/>
              </w:rPr>
              <w:t>represented by Suat Göydeniz</w:t>
            </w:r>
          </w:p>
          <w:p>
            <w:pPr>
              <w:pStyle w:val="Normal"/>
              <w:spacing w:before="0" w:after="100"/>
              <w:rPr/>
            </w:pPr>
            <w:r>
              <w:rPr>
                <w:color w:val="667085"/>
                <w:sz w:val="18"/>
                <w:szCs w:val="18"/>
              </w:rPr>
              <w:t xml:space="preserve">— </w:t>
            </w:r>
            <w:r>
              <w:rPr>
                <w:color w:val="667085"/>
                <w:sz w:val="18"/>
                <w:szCs w:val="18"/>
              </w:rPr>
              <w:t>hereinafter the “Tax Advisor” —</w:t>
            </w:r>
          </w:p>
        </w:tc>
      </w:tr>
      <w:tr>
        <w:trPr>
          <w:cantSplit w:val="true"/>
        </w:trPr>
        <w:tc>
          <w:tcPr>
            <w:tcW w:w="5103" w:type="dxa"/>
            <w:tcBorders>
              <w:top w:val="single" w:sz="2" w:space="0" w:color="D9E2E2"/>
              <w:left w:val="single" w:sz="2" w:space="0" w:color="D9E2E2"/>
              <w:bottom w:val="single" w:sz="2" w:space="0" w:color="D9E2E2"/>
              <w:right w:val="single" w:sz="2" w:space="0" w:color="D9E2E2"/>
            </w:tcBorders>
          </w:tcPr>
          <w:p>
            <w:pPr>
              <w:pStyle w:val="Normal"/>
              <w:spacing w:before="0" w:after="80"/>
              <w:rPr/>
            </w:pPr>
            <w:r>
              <w:rPr>
                <w:b/>
                <w:bCs/>
                <w:color w:val="123330"/>
                <w:sz w:val="19"/>
                <w:szCs w:val="19"/>
              </w:rPr>
              <w:t>und</w:t>
            </w:r>
          </w:p>
          <w:p>
            <w:pPr>
              <w:pStyle w:val="Normal"/>
              <w:spacing w:before="0" w:after="100"/>
              <w:rPr/>
            </w:pPr>
            <w:r>
              <w:rPr>
                <w:color w:val="222222"/>
                <w:sz w:val="18"/>
                <w:szCs w:val="18"/>
              </w:rPr>
              <w:t>[Name des Mandanten / Firmenname]</w:t>
            </w:r>
          </w:p>
          <w:p>
            <w:pPr>
              <w:pStyle w:val="Normal"/>
              <w:spacing w:before="0" w:after="100"/>
              <w:rPr/>
            </w:pPr>
            <w:r>
              <w:rPr>
                <w:color w:val="222222"/>
                <w:sz w:val="18"/>
                <w:szCs w:val="18"/>
              </w:rPr>
              <w:t>[Anschrift des Mandanten]</w:t>
            </w:r>
          </w:p>
          <w:p>
            <w:pPr>
              <w:pStyle w:val="Normal"/>
              <w:spacing w:before="0" w:after="100"/>
              <w:rPr/>
            </w:pPr>
            <w:r>
              <w:rPr>
                <w:color w:val="222222"/>
                <w:sz w:val="18"/>
                <w:szCs w:val="18"/>
              </w:rPr>
              <w:t>[Register und Registernummer]</w:t>
            </w:r>
          </w:p>
          <w:p>
            <w:pPr>
              <w:pStyle w:val="Normal"/>
              <w:spacing w:before="0" w:after="100"/>
              <w:rPr/>
            </w:pPr>
            <w:r>
              <w:rPr>
                <w:color w:val="222222"/>
                <w:sz w:val="18"/>
                <w:szCs w:val="18"/>
              </w:rPr>
              <w:t>[Steuernummer / USt-IdNr.]</w:t>
            </w:r>
          </w:p>
          <w:p>
            <w:pPr>
              <w:pStyle w:val="Normal"/>
              <w:spacing w:before="0" w:after="100"/>
              <w:rPr/>
            </w:pPr>
            <w:r>
              <w:rPr>
                <w:color w:val="222222"/>
                <w:sz w:val="18"/>
                <w:szCs w:val="18"/>
              </w:rPr>
              <w:t>vertreten durch [Name]</w:t>
            </w:r>
          </w:p>
          <w:p>
            <w:pPr>
              <w:pStyle w:val="Normal"/>
              <w:spacing w:before="0" w:after="100"/>
              <w:rPr/>
            </w:pPr>
            <w:r>
              <w:rPr>
                <w:color w:val="667085"/>
                <w:sz w:val="18"/>
                <w:szCs w:val="18"/>
              </w:rPr>
              <w:t xml:space="preserve">— </w:t>
            </w:r>
            <w:r>
              <w:rPr>
                <w:color w:val="667085"/>
                <w:sz w:val="18"/>
                <w:szCs w:val="18"/>
              </w:rPr>
              <w:t>nachfolgend „Mandant“ —</w:t>
            </w:r>
          </w:p>
        </w:tc>
        <w:tc>
          <w:tcPr>
            <w:tcW w:w="5102" w:type="dxa"/>
            <w:tcBorders>
              <w:top w:val="single" w:sz="2" w:space="0" w:color="D9E2E2"/>
              <w:left w:val="single" w:sz="2" w:space="0" w:color="D9E2E2"/>
              <w:bottom w:val="single" w:sz="2" w:space="0" w:color="D9E2E2"/>
              <w:right w:val="single" w:sz="2" w:space="0" w:color="D9E2E2"/>
            </w:tcBorders>
          </w:tcPr>
          <w:p>
            <w:pPr>
              <w:pStyle w:val="Normal"/>
              <w:spacing w:before="0" w:after="80"/>
              <w:rPr/>
            </w:pPr>
            <w:r>
              <w:rPr>
                <w:b/>
                <w:bCs/>
                <w:color w:val="123330"/>
                <w:sz w:val="19"/>
                <w:szCs w:val="19"/>
              </w:rPr>
              <w:t>and</w:t>
            </w:r>
          </w:p>
          <w:p>
            <w:pPr>
              <w:pStyle w:val="Normal"/>
              <w:spacing w:before="0" w:after="100"/>
              <w:rPr/>
            </w:pPr>
            <w:r>
              <w:rPr>
                <w:color w:val="222222"/>
                <w:sz w:val="18"/>
                <w:szCs w:val="18"/>
              </w:rPr>
              <w:t>[Client name / company name]</w:t>
            </w:r>
          </w:p>
          <w:p>
            <w:pPr>
              <w:pStyle w:val="Normal"/>
              <w:spacing w:before="0" w:after="100"/>
              <w:rPr/>
            </w:pPr>
            <w:r>
              <w:rPr>
                <w:color w:val="222222"/>
                <w:sz w:val="18"/>
                <w:szCs w:val="18"/>
              </w:rPr>
              <w:t>[Client address]</w:t>
            </w:r>
          </w:p>
          <w:p>
            <w:pPr>
              <w:pStyle w:val="Normal"/>
              <w:spacing w:before="0" w:after="100"/>
              <w:rPr/>
            </w:pPr>
            <w:r>
              <w:rPr>
                <w:color w:val="222222"/>
                <w:sz w:val="18"/>
                <w:szCs w:val="18"/>
              </w:rPr>
              <w:t>[Commercial register and registration number]</w:t>
            </w:r>
          </w:p>
          <w:p>
            <w:pPr>
              <w:pStyle w:val="Normal"/>
              <w:spacing w:before="0" w:after="100"/>
              <w:rPr/>
            </w:pPr>
            <w:r>
              <w:rPr>
                <w:color w:val="222222"/>
                <w:sz w:val="18"/>
                <w:szCs w:val="18"/>
              </w:rPr>
              <w:t>[Tax number / VAT ID]</w:t>
            </w:r>
          </w:p>
          <w:p>
            <w:pPr>
              <w:pStyle w:val="Normal"/>
              <w:spacing w:before="0" w:after="100"/>
              <w:rPr/>
            </w:pPr>
            <w:r>
              <w:rPr>
                <w:color w:val="222222"/>
                <w:sz w:val="18"/>
                <w:szCs w:val="18"/>
              </w:rPr>
              <w:t>represented by [Name]</w:t>
            </w:r>
          </w:p>
          <w:p>
            <w:pPr>
              <w:pStyle w:val="Normal"/>
              <w:spacing w:before="0" w:after="100"/>
              <w:rPr/>
            </w:pPr>
            <w:r>
              <w:rPr>
                <w:color w:val="667085"/>
                <w:sz w:val="18"/>
                <w:szCs w:val="18"/>
              </w:rPr>
              <w:t xml:space="preserve">— </w:t>
            </w:r>
            <w:r>
              <w:rPr>
                <w:color w:val="667085"/>
                <w:sz w:val="18"/>
                <w:szCs w:val="18"/>
              </w:rPr>
              <w:t>hereinafter the “Client” —</w:t>
            </w:r>
          </w:p>
        </w:tc>
      </w:tr>
    </w:tbl>
    <w:p>
      <w:pPr>
        <w:pStyle w:val="Normal"/>
        <w:pBdr>
          <w:bottom w:val="single" w:sz="8" w:space="4" w:color="1F4B47"/>
        </w:pBdr>
        <w:spacing w:before="260" w:after="100"/>
        <w:rPr/>
      </w:pPr>
      <w:r>
        <w:rPr>
          <w:b/>
          <w:bCs/>
          <w:color w:val="1F4B47"/>
          <w:spacing w:val="20"/>
          <w:sz w:val="20"/>
          <w:szCs w:val="20"/>
        </w:rPr>
        <w:t>VERTRAGSBEDINGUNGEN</w:t>
      </w:r>
      <w:r>
        <w:rPr>
          <w:color w:val="667085"/>
          <w:sz w:val="18"/>
          <w:szCs w:val="18"/>
        </w:rPr>
        <w:t xml:space="preserve">   /   </w:t>
      </w:r>
      <w:r>
        <w:rPr>
          <w:b/>
          <w:bCs/>
          <w:i/>
          <w:iCs/>
          <w:color w:val="1F4B47"/>
          <w:spacing w:val="20"/>
          <w:sz w:val="20"/>
          <w:szCs w:val="20"/>
        </w:rPr>
        <w:t>TERMS</w:t>
      </w:r>
    </w:p>
    <w:tbl>
      <w:tblPr>
        <w:tblW w:w="10206" w:type="dxa"/>
        <w:jc w:val="left"/>
        <w:tblInd w:w="0" w:type="dxa"/>
        <w:tblLayout w:type="fixed"/>
        <w:tblCellMar>
          <w:top w:w="140" w:type="dxa"/>
          <w:left w:w="180" w:type="dxa"/>
          <w:bottom w:w="140" w:type="dxa"/>
          <w:right w:w="180" w:type="dxa"/>
        </w:tblCellMar>
      </w:tblPr>
      <w:tblGrid>
        <w:gridCol w:w="5103"/>
        <w:gridCol w:w="5102"/>
      </w:tblGrid>
      <w:tr>
        <w:trPr>
          <w:cantSplit w:val="true"/>
        </w:trPr>
        <w:tc>
          <w:tcPr>
            <w:tcW w:w="5103" w:type="dxa"/>
            <w:tcBorders>
              <w:top w:val="single" w:sz="2" w:space="0" w:color="D9E2E2"/>
              <w:left w:val="single" w:sz="2" w:space="0" w:color="D9E2E2"/>
              <w:bottom w:val="single" w:sz="2" w:space="0" w:color="D9E2E2"/>
              <w:right w:val="single" w:sz="2" w:space="0" w:color="D9E2E2"/>
            </w:tcBorders>
          </w:tcPr>
          <w:p>
            <w:pPr>
              <w:pStyle w:val="Normal"/>
              <w:spacing w:before="0" w:after="80"/>
              <w:rPr/>
            </w:pPr>
            <w:r>
              <w:rPr>
                <w:b/>
                <w:bCs/>
                <w:color w:val="123330"/>
                <w:sz w:val="19"/>
                <w:szCs w:val="19"/>
              </w:rPr>
              <w:t>§ 1 Vertragsgegenstand</w:t>
            </w:r>
          </w:p>
          <w:p>
            <w:pPr>
              <w:pStyle w:val="Normal"/>
              <w:spacing w:before="0" w:after="100"/>
              <w:rPr/>
            </w:pPr>
            <w:r>
              <w:rPr>
                <w:color w:val="222222"/>
                <w:sz w:val="18"/>
                <w:szCs w:val="18"/>
              </w:rPr>
              <w:t>Gegenstand dieses Vertrags ist die laufende Lohn- und Gehaltsabrechnung (Lohnbuchführung gemäß § 34 StBVV) für die vom Mandanten in Deutschland direkt beschäftigten Arbeitnehmer über die von HireGermany.com bereitgestellte Arbeitgeberinfrastruktur. Die einmalige Registrierung als Arbeitgeber ist Voraussetzung für die Aufnahme der Lohnabrechnung und wird als vorbereitende Nebenleistung miterbracht. Der Mandant bleibt durchgehend selbst Arbeitgeber im Sinne des deutschen Arbeits- und Sozialversicherungsrechts.</w:t>
            </w:r>
          </w:p>
        </w:tc>
        <w:tc>
          <w:tcPr>
            <w:tcW w:w="5102" w:type="dxa"/>
            <w:tcBorders>
              <w:top w:val="single" w:sz="2" w:space="0" w:color="D9E2E2"/>
              <w:left w:val="single" w:sz="2" w:space="0" w:color="D9E2E2"/>
              <w:bottom w:val="single" w:sz="2" w:space="0" w:color="D9E2E2"/>
              <w:right w:val="single" w:sz="2" w:space="0" w:color="D9E2E2"/>
            </w:tcBorders>
          </w:tcPr>
          <w:p>
            <w:pPr>
              <w:pStyle w:val="Normal"/>
              <w:spacing w:before="0" w:after="80"/>
              <w:rPr/>
            </w:pPr>
            <w:r>
              <w:rPr>
                <w:b/>
                <w:bCs/>
                <w:color w:val="123330"/>
                <w:sz w:val="19"/>
                <w:szCs w:val="19"/>
              </w:rPr>
              <w:t>§ 1 Subject Matter</w:t>
            </w:r>
          </w:p>
          <w:p>
            <w:pPr>
              <w:pStyle w:val="Normal"/>
              <w:spacing w:before="0" w:after="100"/>
              <w:rPr/>
            </w:pPr>
            <w:r>
              <w:rPr>
                <w:color w:val="222222"/>
                <w:sz w:val="18"/>
                <w:szCs w:val="18"/>
              </w:rPr>
              <w:t>The subject matter of this agreement is the ongoing payroll accounting service (Lohnbuchführung under § 34 StBVV) for the staff directly employed by the Client in Germany through the employer infrastructure made available via HireGermany.com. The one-time employer registration is a precondition for commencing payroll and is provided as a preparatory ancillary service. The Client remains the employer at all times within the meaning of German labour and social security law.</w:t>
            </w:r>
          </w:p>
        </w:tc>
      </w:tr>
      <w:tr>
        <w:trPr/>
        <w:tc>
          <w:tcPr>
            <w:tcW w:w="5103" w:type="dxa"/>
            <w:tcBorders>
              <w:top w:val="single" w:sz="2" w:space="0" w:color="D9E2E2"/>
              <w:left w:val="single" w:sz="2" w:space="0" w:color="D9E2E2"/>
              <w:bottom w:val="single" w:sz="2" w:space="0" w:color="D9E2E2"/>
              <w:right w:val="single" w:sz="2" w:space="0" w:color="D9E2E2"/>
            </w:tcBorders>
          </w:tcPr>
          <w:p>
            <w:pPr>
              <w:pStyle w:val="Normal"/>
              <w:spacing w:before="0" w:after="80"/>
              <w:rPr/>
            </w:pPr>
            <w:r>
              <w:rPr>
                <w:b/>
                <w:bCs/>
                <w:color w:val="123330"/>
                <w:sz w:val="19"/>
                <w:szCs w:val="19"/>
              </w:rPr>
              <w:t>§ 2 Leistungsumfang</w:t>
            </w:r>
          </w:p>
          <w:p>
            <w:pPr>
              <w:pStyle w:val="Normal"/>
              <w:spacing w:before="0" w:after="100"/>
              <w:rPr/>
            </w:pPr>
            <w:r>
              <w:rPr>
                <w:color w:val="222222"/>
                <w:sz w:val="18"/>
                <w:szCs w:val="18"/>
              </w:rPr>
              <w:t>Kernleistung — Lohnbuchführung (§ 34 StBVV):</w:t>
            </w:r>
          </w:p>
          <w:p>
            <w:pPr>
              <w:pStyle w:val="Normal"/>
              <w:spacing w:before="0" w:after="60"/>
              <w:ind w:left="200"/>
              <w:rPr/>
            </w:pPr>
            <w:r>
              <w:rPr>
                <w:b/>
                <w:bCs/>
                <w:color w:val="1F4B47"/>
                <w:sz w:val="18"/>
                <w:szCs w:val="18"/>
              </w:rPr>
              <w:t xml:space="preserve">–  </w:t>
            </w:r>
            <w:r>
              <w:rPr>
                <w:sz w:val="18"/>
                <w:szCs w:val="18"/>
              </w:rPr>
              <w:t>Einmalige Einrichtung der Lohnkonten und Aufnahme der Stammdaten je Arbeitnehmer (§ 34 Abs. 1 StBVV)</w:t>
            </w:r>
          </w:p>
          <w:p>
            <w:pPr>
              <w:pStyle w:val="Normal"/>
              <w:spacing w:before="0" w:after="60"/>
              <w:ind w:left="200"/>
              <w:rPr/>
            </w:pPr>
            <w:r>
              <w:rPr>
                <w:b/>
                <w:bCs/>
                <w:color w:val="1F4B47"/>
                <w:sz w:val="18"/>
                <w:szCs w:val="18"/>
              </w:rPr>
              <w:t xml:space="preserve">–  </w:t>
            </w:r>
            <w:r>
              <w:rPr>
                <w:sz w:val="18"/>
                <w:szCs w:val="18"/>
              </w:rPr>
              <w:t>Laufende Führung der Lohnkonten und monatliche Anfertigung der Lohn- und Gehaltsabrechnung je Arbeitnehmer und Abrechnungszeitraum (§ 34 Abs. 2–4 StBVV, je nach Art der Datenbereitstellung durch den Mandanten)</w:t>
            </w:r>
          </w:p>
          <w:p>
            <w:pPr>
              <w:pStyle w:val="Normal"/>
              <w:spacing w:before="0" w:after="60"/>
              <w:ind w:left="200"/>
              <w:rPr/>
            </w:pPr>
            <w:r>
              <w:rPr>
                <w:b/>
                <w:bCs/>
                <w:color w:val="1F4B47"/>
                <w:sz w:val="18"/>
                <w:szCs w:val="18"/>
              </w:rPr>
              <w:t xml:space="preserve">–  </w:t>
            </w:r>
            <w:r>
              <w:rPr>
                <w:sz w:val="18"/>
                <w:szCs w:val="18"/>
              </w:rPr>
              <w:t>Berechnung, Erstellung und elektronische Übermittlung der Lohnsteueranmeldung (mit der Gebühr nach § 34 Abs. 2–4 StBVV abgegolten, § 24 Abs. 1 Nr. 15 StBVV); entfällt, soweit keine Pflicht zum Lohnsteuerabzug nach § 38 Abs. 1 EStG besteht</w:t>
            </w:r>
          </w:p>
          <w:p>
            <w:pPr>
              <w:pStyle w:val="Normal"/>
              <w:spacing w:before="0" w:after="60"/>
              <w:ind w:left="200"/>
              <w:rPr/>
            </w:pPr>
            <w:r>
              <w:rPr>
                <w:b/>
                <w:bCs/>
                <w:color w:val="1F4B47"/>
                <w:sz w:val="18"/>
                <w:szCs w:val="18"/>
              </w:rPr>
              <w:t xml:space="preserve">–  </w:t>
            </w:r>
            <w:r>
              <w:rPr>
                <w:sz w:val="18"/>
                <w:szCs w:val="18"/>
              </w:rPr>
              <w:t>Berechnung und Meldung der Sozialversicherungsbeiträge sowie Erstellung der Beitragsnachweise gegenüber den zuständigen Einzugsstellen</w:t>
            </w:r>
          </w:p>
          <w:p>
            <w:pPr>
              <w:pStyle w:val="Normal"/>
              <w:spacing w:before="0" w:after="60"/>
              <w:ind w:left="200"/>
              <w:rPr/>
            </w:pPr>
            <w:r>
              <w:rPr>
                <w:b/>
                <w:bCs/>
                <w:color w:val="1F4B47"/>
                <w:sz w:val="18"/>
                <w:szCs w:val="18"/>
              </w:rPr>
              <w:t xml:space="preserve">–  </w:t>
            </w:r>
            <w:r>
              <w:rPr>
                <w:sz w:val="18"/>
                <w:szCs w:val="18"/>
              </w:rPr>
              <w:t>Vertretung gegenüber den Sozialversicherungsträgern in Beitrags- und Meldeangelegenheiten; gegenüber Finanzbehörden in Lohnsteuerangelegenheiten nur, soweit eine Pflicht zum Lohnsteuerabzug besteht</w:t>
            </w:r>
          </w:p>
          <w:p>
            <w:pPr>
              <w:pStyle w:val="Normal"/>
              <w:spacing w:before="0" w:after="60"/>
              <w:ind w:left="200"/>
              <w:rPr/>
            </w:pPr>
            <w:r>
              <w:rPr>
                <w:b/>
                <w:bCs/>
                <w:color w:val="1F4B47"/>
                <w:sz w:val="18"/>
                <w:szCs w:val="18"/>
              </w:rPr>
              <w:t xml:space="preserve">–  </w:t>
            </w:r>
            <w:r>
              <w:rPr>
                <w:sz w:val="18"/>
                <w:szCs w:val="18"/>
              </w:rPr>
              <w:t>Bereitstellung der monatlichen Lohn-/Gehaltsabrechnungen an Mandant und Arbeitnehmer</w:t>
            </w:r>
          </w:p>
          <w:p>
            <w:pPr>
              <w:pStyle w:val="Normal"/>
              <w:spacing w:before="0" w:after="60"/>
              <w:ind w:left="200"/>
              <w:rPr/>
            </w:pPr>
            <w:r>
              <w:rPr>
                <w:b/>
                <w:bCs/>
                <w:color w:val="1F4B47"/>
                <w:sz w:val="18"/>
                <w:szCs w:val="18"/>
              </w:rPr>
              <w:t xml:space="preserve">–  </w:t>
            </w:r>
            <w:r>
              <w:rPr>
                <w:sz w:val="18"/>
                <w:szCs w:val="18"/>
              </w:rPr>
              <w:t>Hilfeleistung bei sonstigen Tätigkeiten im Zusammenhang mit dem Lohnsteuerabzug und der Lohnbuchführung nach Zeitaufwand gemäß § 4, soweit nicht von der Pauschalvergütung nach § 4 umfasst</w:t>
            </w:r>
          </w:p>
          <w:p>
            <w:pPr>
              <w:pStyle w:val="Normal"/>
              <w:spacing w:before="0" w:after="100"/>
              <w:rPr/>
            </w:pPr>
            <w:r>
              <w:rPr>
                <w:color w:val="222222"/>
                <w:sz w:val="18"/>
                <w:szCs w:val="18"/>
              </w:rPr>
              <w:t>Vorbereitende Nebenleistung:</w:t>
            </w:r>
          </w:p>
          <w:p>
            <w:pPr>
              <w:pStyle w:val="Normal"/>
              <w:spacing w:before="0" w:after="60"/>
              <w:ind w:left="200"/>
              <w:rPr/>
            </w:pPr>
            <w:r>
              <w:rPr>
                <w:b/>
                <w:bCs/>
                <w:color w:val="1F4B47"/>
                <w:sz w:val="18"/>
                <w:szCs w:val="18"/>
              </w:rPr>
              <w:t xml:space="preserve">–  </w:t>
            </w:r>
            <w:r>
              <w:rPr>
                <w:sz w:val="18"/>
                <w:szCs w:val="18"/>
              </w:rPr>
              <w:t>Einmalige Registrierung als Arbeitgeber bei den zuständigen deutschen Behörden und Sozialversicherungsträgern</w:t>
            </w:r>
          </w:p>
          <w:p>
            <w:pPr>
              <w:pStyle w:val="Normal"/>
              <w:spacing w:before="0" w:after="100"/>
              <w:rPr/>
            </w:pPr>
            <w:r>
              <w:rPr>
                <w:color w:val="222222"/>
                <w:sz w:val="18"/>
                <w:szCs w:val="18"/>
              </w:rPr>
              <w:t>Auf gesonderte Beauftragung außerhalb dieses Vertrags:</w:t>
            </w:r>
          </w:p>
          <w:p>
            <w:pPr>
              <w:pStyle w:val="Normal"/>
              <w:spacing w:before="0" w:after="60"/>
              <w:ind w:left="200"/>
              <w:rPr/>
            </w:pPr>
            <w:r>
              <w:rPr>
                <w:b/>
                <w:bCs/>
                <w:color w:val="1F4B47"/>
                <w:sz w:val="18"/>
                <w:szCs w:val="18"/>
              </w:rPr>
              <w:t xml:space="preserve">–  </w:t>
            </w:r>
            <w:r>
              <w:rPr>
                <w:sz w:val="18"/>
                <w:szCs w:val="18"/>
              </w:rPr>
              <w:t>Einkommensteuererklärungen und Betreuung der Einkommensteuer-Vorauszahlungen für Arbeitnehmer sowie Einschätzung des Risikos einer Betriebsstätte (Permanent Establishment)</w:t>
            </w:r>
          </w:p>
          <w:p>
            <w:pPr>
              <w:pStyle w:val="Normal"/>
              <w:spacing w:before="0" w:after="60"/>
              <w:ind w:left="200"/>
              <w:rPr/>
            </w:pPr>
            <w:r>
              <w:rPr>
                <w:b/>
                <w:bCs/>
                <w:color w:val="1F4B47"/>
                <w:sz w:val="18"/>
                <w:szCs w:val="18"/>
              </w:rPr>
              <w:t xml:space="preserve">–  </w:t>
            </w:r>
            <w:r>
              <w:rPr>
                <w:sz w:val="18"/>
                <w:szCs w:val="18"/>
              </w:rPr>
              <w:t>Beantragung von A1-Bescheinigungen</w:t>
            </w:r>
          </w:p>
          <w:p>
            <w:pPr>
              <w:pStyle w:val="Normal"/>
              <w:spacing w:before="0" w:after="100"/>
              <w:rPr/>
            </w:pPr>
            <w:r>
              <w:rPr>
                <w:color w:val="667085"/>
                <w:sz w:val="18"/>
                <w:szCs w:val="18"/>
              </w:rPr>
              <w:t>Der genaue Leistungsumfang richtet sich im Übrigen nach dem zum Vertragsschluss gültigen Leistungs- und Preisverzeichnis von HireGermany.com.</w:t>
            </w:r>
          </w:p>
        </w:tc>
        <w:tc>
          <w:tcPr>
            <w:tcW w:w="5102" w:type="dxa"/>
            <w:tcBorders>
              <w:top w:val="single" w:sz="2" w:space="0" w:color="D9E2E2"/>
              <w:left w:val="single" w:sz="2" w:space="0" w:color="D9E2E2"/>
              <w:bottom w:val="single" w:sz="2" w:space="0" w:color="D9E2E2"/>
              <w:right w:val="single" w:sz="2" w:space="0" w:color="D9E2E2"/>
            </w:tcBorders>
          </w:tcPr>
          <w:p>
            <w:pPr>
              <w:pStyle w:val="Normal"/>
              <w:spacing w:before="0" w:after="80"/>
              <w:rPr/>
            </w:pPr>
            <w:r>
              <w:rPr>
                <w:b/>
                <w:bCs/>
                <w:color w:val="123330"/>
                <w:sz w:val="19"/>
                <w:szCs w:val="19"/>
              </w:rPr>
              <w:t>§ 2 Scope of Services</w:t>
            </w:r>
          </w:p>
          <w:p>
            <w:pPr>
              <w:pStyle w:val="Normal"/>
              <w:spacing w:before="0" w:after="100"/>
              <w:rPr/>
            </w:pPr>
            <w:r>
              <w:rPr>
                <w:color w:val="222222"/>
                <w:sz w:val="18"/>
                <w:szCs w:val="18"/>
              </w:rPr>
              <w:t>Core service — payroll accounting (Lohnbuchführung, § 34 StBVV):</w:t>
            </w:r>
          </w:p>
          <w:p>
            <w:pPr>
              <w:pStyle w:val="Normal"/>
              <w:spacing w:before="0" w:after="60"/>
              <w:ind w:left="200"/>
              <w:rPr/>
            </w:pPr>
            <w:r>
              <w:rPr>
                <w:b/>
                <w:bCs/>
                <w:color w:val="1F4B47"/>
                <w:sz w:val="18"/>
                <w:szCs w:val="18"/>
              </w:rPr>
              <w:t xml:space="preserve">–  </w:t>
            </w:r>
            <w:r>
              <w:rPr>
                <w:sz w:val="18"/>
                <w:szCs w:val="18"/>
              </w:rPr>
              <w:t>One-time setup of payroll accounts and capture of master data per employee (§ 34 (1) StBVV)</w:t>
            </w:r>
          </w:p>
          <w:p>
            <w:pPr>
              <w:pStyle w:val="Normal"/>
              <w:spacing w:before="0" w:after="60"/>
              <w:ind w:left="200"/>
              <w:rPr/>
            </w:pPr>
            <w:r>
              <w:rPr>
                <w:b/>
                <w:bCs/>
                <w:color w:val="1F4B47"/>
                <w:sz w:val="18"/>
                <w:szCs w:val="18"/>
              </w:rPr>
              <w:t xml:space="preserve">–  </w:t>
            </w:r>
            <w:r>
              <w:rPr>
                <w:sz w:val="18"/>
                <w:szCs w:val="18"/>
              </w:rPr>
              <w:t>Ongoing maintenance of payroll accounts and monthly preparation of payroll per employee and accounting period (§ 34 (2)–(4) StBVV, depending on how the Client provides data)</w:t>
            </w:r>
          </w:p>
          <w:p>
            <w:pPr>
              <w:pStyle w:val="Normal"/>
              <w:spacing w:before="0" w:after="60"/>
              <w:ind w:left="200"/>
              <w:rPr/>
            </w:pPr>
            <w:r>
              <w:rPr>
                <w:b/>
                <w:bCs/>
                <w:color w:val="1F4B47"/>
                <w:sz w:val="18"/>
                <w:szCs w:val="18"/>
              </w:rPr>
              <w:t xml:space="preserve">–  </w:t>
            </w:r>
            <w:r>
              <w:rPr>
                <w:sz w:val="18"/>
                <w:szCs w:val="18"/>
              </w:rPr>
              <w:t>Calculation, preparation and electronic filing of the wage-tax return (covered by the fee under § 34 (2)–(4) StBVV, § 24 (1) no. 15 StBVV); not applicable where there is no obligation to withhold wage tax under § 38 (1) EStG</w:t>
            </w:r>
          </w:p>
          <w:p>
            <w:pPr>
              <w:pStyle w:val="Normal"/>
              <w:spacing w:before="0" w:after="60"/>
              <w:ind w:left="200"/>
              <w:rPr/>
            </w:pPr>
            <w:r>
              <w:rPr>
                <w:b/>
                <w:bCs/>
                <w:color w:val="1F4B47"/>
                <w:sz w:val="18"/>
                <w:szCs w:val="18"/>
              </w:rPr>
              <w:t xml:space="preserve">–  </w:t>
            </w:r>
            <w:r>
              <w:rPr>
                <w:sz w:val="18"/>
                <w:szCs w:val="18"/>
              </w:rPr>
              <w:t>Calculation and filing of social security contributions and preparation of contribution statements to the competent collection agencies</w:t>
            </w:r>
          </w:p>
          <w:p>
            <w:pPr>
              <w:pStyle w:val="Normal"/>
              <w:spacing w:before="0" w:after="60"/>
              <w:ind w:left="200"/>
              <w:rPr/>
            </w:pPr>
            <w:r>
              <w:rPr>
                <w:b/>
                <w:bCs/>
                <w:color w:val="1F4B47"/>
                <w:sz w:val="18"/>
                <w:szCs w:val="18"/>
              </w:rPr>
              <w:t xml:space="preserve">–  </w:t>
            </w:r>
            <w:r>
              <w:rPr>
                <w:sz w:val="18"/>
                <w:szCs w:val="18"/>
              </w:rPr>
              <w:t>Representation before the social security institutions in contribution and notification matters; before tax authorities in wage-tax matters only where there is an obligation to withhold wage tax</w:t>
            </w:r>
          </w:p>
          <w:p>
            <w:pPr>
              <w:pStyle w:val="Normal"/>
              <w:spacing w:before="0" w:after="60"/>
              <w:ind w:left="200"/>
              <w:rPr/>
            </w:pPr>
            <w:r>
              <w:rPr>
                <w:b/>
                <w:bCs/>
                <w:color w:val="1F4B47"/>
                <w:sz w:val="18"/>
                <w:szCs w:val="18"/>
              </w:rPr>
              <w:t xml:space="preserve">–  </w:t>
            </w:r>
            <w:r>
              <w:rPr>
                <w:sz w:val="18"/>
                <w:szCs w:val="18"/>
              </w:rPr>
              <w:t>Provision of the monthly payslips to the Client and employees</w:t>
            </w:r>
          </w:p>
          <w:p>
            <w:pPr>
              <w:pStyle w:val="Normal"/>
              <w:spacing w:before="0" w:after="60"/>
              <w:ind w:left="200"/>
              <w:rPr/>
            </w:pPr>
            <w:r>
              <w:rPr>
                <w:b/>
                <w:bCs/>
                <w:color w:val="1F4B47"/>
                <w:sz w:val="18"/>
                <w:szCs w:val="18"/>
              </w:rPr>
              <w:t xml:space="preserve">–  </w:t>
            </w:r>
            <w:r>
              <w:rPr>
                <w:sz w:val="18"/>
                <w:szCs w:val="18"/>
              </w:rPr>
              <w:t>Assistance with other matters relating to wage-tax withholding and payroll accounting, billed by time spent in accordance with § 4, to the extent not covered by the flat fee under § 4</w:t>
            </w:r>
          </w:p>
          <w:p>
            <w:pPr>
              <w:pStyle w:val="Normal"/>
              <w:spacing w:before="0" w:after="100"/>
              <w:rPr/>
            </w:pPr>
            <w:r>
              <w:rPr>
                <w:color w:val="222222"/>
                <w:sz w:val="18"/>
                <w:szCs w:val="18"/>
              </w:rPr>
              <w:t>Preparatory ancillary service:</w:t>
            </w:r>
          </w:p>
          <w:p>
            <w:pPr>
              <w:pStyle w:val="Normal"/>
              <w:spacing w:before="0" w:after="60"/>
              <w:ind w:left="200"/>
              <w:rPr/>
            </w:pPr>
            <w:r>
              <w:rPr>
                <w:b/>
                <w:bCs/>
                <w:color w:val="1F4B47"/>
                <w:sz w:val="18"/>
                <w:szCs w:val="18"/>
              </w:rPr>
              <w:t xml:space="preserve">–  </w:t>
            </w:r>
            <w:r>
              <w:rPr>
                <w:sz w:val="18"/>
                <w:szCs w:val="18"/>
              </w:rPr>
              <w:t>One-time registration as an employer with the competent German authorities and social security carriers</w:t>
            </w:r>
          </w:p>
          <w:p>
            <w:pPr>
              <w:pStyle w:val="Normal"/>
              <w:spacing w:before="0" w:after="100"/>
              <w:rPr/>
            </w:pPr>
            <w:r>
              <w:rPr>
                <w:color w:val="222222"/>
                <w:sz w:val="18"/>
                <w:szCs w:val="18"/>
              </w:rPr>
              <w:t>Upon separate engagement outside this agreement:</w:t>
            </w:r>
          </w:p>
          <w:p>
            <w:pPr>
              <w:pStyle w:val="Normal"/>
              <w:spacing w:before="0" w:after="60"/>
              <w:ind w:left="200"/>
              <w:rPr/>
            </w:pPr>
            <w:r>
              <w:rPr>
                <w:b/>
                <w:bCs/>
                <w:color w:val="1F4B47"/>
                <w:sz w:val="18"/>
                <w:szCs w:val="18"/>
              </w:rPr>
              <w:t xml:space="preserve">–  </w:t>
            </w:r>
            <w:r>
              <w:rPr>
                <w:sz w:val="18"/>
                <w:szCs w:val="18"/>
              </w:rPr>
              <w:t>Employee income-tax returns and handling of employees’ income-tax prepayments and assessment of permanent-establishment (PE) risk</w:t>
            </w:r>
          </w:p>
          <w:p>
            <w:pPr>
              <w:pStyle w:val="Normal"/>
              <w:spacing w:before="0" w:after="60"/>
              <w:ind w:left="200"/>
              <w:rPr/>
            </w:pPr>
            <w:r>
              <w:rPr>
                <w:b/>
                <w:bCs/>
                <w:color w:val="1F4B47"/>
                <w:sz w:val="18"/>
                <w:szCs w:val="18"/>
              </w:rPr>
              <w:t xml:space="preserve">–  </w:t>
            </w:r>
            <w:r>
              <w:rPr>
                <w:sz w:val="18"/>
                <w:szCs w:val="18"/>
              </w:rPr>
              <w:t>Applications for A1 certificates</w:t>
            </w:r>
          </w:p>
          <w:p>
            <w:pPr>
              <w:pStyle w:val="Normal"/>
              <w:spacing w:before="0" w:after="100"/>
              <w:rPr/>
            </w:pPr>
            <w:r>
              <w:rPr>
                <w:color w:val="667085"/>
                <w:sz w:val="18"/>
                <w:szCs w:val="18"/>
              </w:rPr>
              <w:t>The precise scope of services otherwise follows the service and pricing schedule of HireGermany.com in effect at the time this agreement is concluded.</w:t>
            </w:r>
          </w:p>
        </w:tc>
      </w:tr>
      <w:tr>
        <w:trPr>
          <w:cantSplit w:val="true"/>
        </w:trPr>
        <w:tc>
          <w:tcPr>
            <w:tcW w:w="5103" w:type="dxa"/>
            <w:tcBorders>
              <w:top w:val="single" w:sz="2" w:space="0" w:color="D9E2E2"/>
              <w:left w:val="single" w:sz="2" w:space="0" w:color="D9E2E2"/>
              <w:bottom w:val="single" w:sz="2" w:space="0" w:color="D9E2E2"/>
              <w:right w:val="single" w:sz="2" w:space="0" w:color="D9E2E2"/>
            </w:tcBorders>
          </w:tcPr>
          <w:p>
            <w:pPr>
              <w:pStyle w:val="Normal"/>
              <w:spacing w:before="0" w:after="80"/>
              <w:rPr/>
            </w:pPr>
            <w:r>
              <w:rPr>
                <w:b/>
                <w:bCs/>
                <w:color w:val="123330"/>
                <w:sz w:val="19"/>
                <w:szCs w:val="19"/>
              </w:rPr>
              <w:t>§ 3 Vollmacht</w:t>
            </w:r>
          </w:p>
          <w:p>
            <w:pPr>
              <w:pStyle w:val="Normal"/>
              <w:spacing w:before="0" w:after="100"/>
              <w:rPr/>
            </w:pPr>
            <w:r>
              <w:rPr>
                <w:color w:val="222222"/>
                <w:sz w:val="18"/>
                <w:szCs w:val="18"/>
              </w:rPr>
              <w:t>Für die Vertretung des Mandanten gegenüber den Sozialversicherungsträgern und sonstigen Stellen im Rahmen der Lohnbuchführung erteilt der Mandant dem Steuerberater eine gesonderte Vollmacht in einer separaten Urkunde. Besteht eine Pflicht zum Lohnsteuerabzug, ist für die Vertretung gegenüber den Finanzbehörden zusätzlich eine steuerliche Vollmacht zu erteilen.</w:t>
            </w:r>
          </w:p>
        </w:tc>
        <w:tc>
          <w:tcPr>
            <w:tcW w:w="5102" w:type="dxa"/>
            <w:tcBorders>
              <w:top w:val="single" w:sz="2" w:space="0" w:color="D9E2E2"/>
              <w:left w:val="single" w:sz="2" w:space="0" w:color="D9E2E2"/>
              <w:bottom w:val="single" w:sz="2" w:space="0" w:color="D9E2E2"/>
              <w:right w:val="single" w:sz="2" w:space="0" w:color="D9E2E2"/>
            </w:tcBorders>
          </w:tcPr>
          <w:p>
            <w:pPr>
              <w:pStyle w:val="Normal"/>
              <w:spacing w:before="0" w:after="80"/>
              <w:rPr/>
            </w:pPr>
            <w:r>
              <w:rPr>
                <w:b/>
                <w:bCs/>
                <w:color w:val="123330"/>
                <w:sz w:val="19"/>
                <w:szCs w:val="19"/>
              </w:rPr>
              <w:t>§ 3 Power of Attorney</w:t>
            </w:r>
          </w:p>
          <w:p>
            <w:pPr>
              <w:pStyle w:val="Normal"/>
              <w:spacing w:before="0" w:after="100"/>
              <w:rPr/>
            </w:pPr>
            <w:r>
              <w:rPr>
                <w:color w:val="222222"/>
                <w:sz w:val="18"/>
                <w:szCs w:val="18"/>
              </w:rPr>
              <w:t>To represent the Client before the social security institutions and other bodies in connection with payroll accounting, the Client grants the Tax Advisor a separate power of attorney by way of a separate document. Where there is an obligation to withhold wage tax, an additional tax power of attorney is required for representation before the tax authorities.</w:t>
            </w:r>
          </w:p>
        </w:tc>
      </w:tr>
      <w:tr>
        <w:trPr/>
        <w:tc>
          <w:tcPr>
            <w:tcW w:w="5103" w:type="dxa"/>
            <w:tcBorders>
              <w:top w:val="single" w:sz="2" w:space="0" w:color="D9E2E2"/>
              <w:left w:val="single" w:sz="2" w:space="0" w:color="D9E2E2"/>
              <w:bottom w:val="single" w:sz="2" w:space="0" w:color="D9E2E2"/>
              <w:right w:val="single" w:sz="2" w:space="0" w:color="D9E2E2"/>
            </w:tcBorders>
          </w:tcPr>
          <w:p>
            <w:pPr>
              <w:pStyle w:val="Normal"/>
              <w:spacing w:before="0" w:after="80"/>
              <w:rPr/>
            </w:pPr>
            <w:r>
              <w:rPr>
                <w:b/>
                <w:bCs/>
                <w:color w:val="123330"/>
                <w:sz w:val="19"/>
                <w:szCs w:val="19"/>
              </w:rPr>
              <w:t>§ 4 Vergütung</w:t>
            </w:r>
          </w:p>
          <w:p>
            <w:pPr>
              <w:pStyle w:val="Normal"/>
              <w:spacing w:before="0" w:after="100"/>
              <w:rPr/>
            </w:pPr>
            <w:r>
              <w:rPr>
                <w:color w:val="667085"/>
                <w:sz w:val="18"/>
                <w:szCs w:val="18"/>
              </w:rPr>
              <w:t>Hinweis gemäß § 4 Abs. 3 StBVV: Der Mandant wird darauf hingewiesen, dass anstelle der gesetzlichen Gebühren in Textform eine höhere oder niedrigere Vergütung vereinbart werden kann.</w:t>
            </w:r>
          </w:p>
          <w:p>
            <w:pPr>
              <w:pStyle w:val="Normal"/>
              <w:spacing w:before="0" w:after="100"/>
              <w:rPr/>
            </w:pPr>
            <w:r>
              <w:rPr>
                <w:color w:val="222222"/>
                <w:sz w:val="18"/>
                <w:szCs w:val="18"/>
              </w:rPr>
              <w:t>Für die laufende Lohnbuchführung nach § 2 wird anstelle der Betragsrahmengebühr nach § 34 StBVV eine abweichende Vergütung im Wege einer Vergütungsvereinbarung gemäß § 4 StBVV vereinbart. Die Pauschalvergütung setzt sich zusammen aus:</w:t>
            </w:r>
          </w:p>
          <w:p>
            <w:pPr>
              <w:pStyle w:val="Normal"/>
              <w:spacing w:before="0" w:after="60"/>
              <w:ind w:left="200"/>
              <w:rPr/>
            </w:pPr>
            <w:r>
              <w:rPr>
                <w:b/>
                <w:bCs/>
                <w:color w:val="1F4B47"/>
                <w:sz w:val="18"/>
                <w:szCs w:val="18"/>
              </w:rPr>
              <w:t xml:space="preserve">–  </w:t>
            </w:r>
            <w:r>
              <w:rPr>
                <w:sz w:val="18"/>
                <w:szCs w:val="18"/>
              </w:rPr>
              <w:t>einer einmaligen Einrichtungsgebühr in Höhe von € 200,00 (deckt u. a. die Einrichtung der Lohnkonten nach § 34 Abs. 1 StBVV sowie die Arbeitgeberregistrierung), und</w:t>
            </w:r>
          </w:p>
          <w:p>
            <w:pPr>
              <w:pStyle w:val="Normal"/>
              <w:spacing w:before="0" w:after="60"/>
              <w:ind w:left="200"/>
              <w:rPr/>
            </w:pPr>
            <w:r>
              <w:rPr>
                <w:b/>
                <w:bCs/>
                <w:color w:val="1F4B47"/>
                <w:sz w:val="18"/>
                <w:szCs w:val="18"/>
              </w:rPr>
              <w:t xml:space="preserve">–  </w:t>
            </w:r>
            <w:r>
              <w:rPr>
                <w:sz w:val="18"/>
                <w:szCs w:val="18"/>
              </w:rPr>
              <w:t>einer laufenden monatlichen Pauschale in Höhe von € 50,00 je beschäftigtem Arbeitnehmer für die Führung der Lohnkonten, die monatliche Lohnabrechnung und die Lohnsteueranmeldung (§ 34 Abs. 2–4 StBVV).</w:t>
            </w:r>
          </w:p>
          <w:p>
            <w:pPr>
              <w:pStyle w:val="Normal"/>
              <w:spacing w:before="0" w:after="100"/>
              <w:rPr/>
            </w:pPr>
            <w:r>
              <w:rPr>
                <w:color w:val="222222"/>
                <w:sz w:val="18"/>
                <w:szCs w:val="18"/>
              </w:rPr>
              <w:t>Beratungsleistungen, die über den in § 2 beschriebenen Leistungsumfang hinausgehen (z. B. Betreuung bei Lohnsteuer- und Sozialversicherungsprüfungen, Sonderauswertungen), werden nach Zeitaufwand berechnet: € 75,00 pro Stunde, jeweils minutengenau. Abweichend hiervon wird die Begleitung einer Betriebsprüfung der Deutschen Rentenversicherung pauschal mit € 250,00 berechnet. Leistungen nach Zeitaufwand, die im Einzelfall voraussichtlich € 500,00 übersteigen, werden vorab mit dem Mandanten abgestimmt; ausgenommen sind fristwahrende Maßnahmen, bei denen eine vorherige Abstimmung zeitlich nicht möglich ist.</w:t>
            </w:r>
          </w:p>
          <w:p>
            <w:pPr>
              <w:pStyle w:val="Normal"/>
              <w:spacing w:before="0" w:after="100"/>
              <w:rPr/>
            </w:pPr>
            <w:r>
              <w:rPr>
                <w:color w:val="222222"/>
                <w:sz w:val="18"/>
                <w:szCs w:val="18"/>
              </w:rPr>
              <w:t>Die Einrichtungsgebühr und die monatliche Pauschale bleiben für die ersten 60 Monate ab Vertragsbeginn unverändert. Spätere Anpassungen kündigt der Steuerberater mindestens drei Monate vor ihrem Wirksamwerden in Textform an; sie orientieren sich an der Entwicklung des Verbraucherpreisindex für Deutschland.</w:t>
            </w:r>
          </w:p>
          <w:p>
            <w:pPr>
              <w:pStyle w:val="Normal"/>
              <w:spacing w:before="0" w:after="100"/>
              <w:rPr/>
            </w:pPr>
            <w:r>
              <w:rPr>
                <w:color w:val="222222"/>
                <w:sz w:val="18"/>
                <w:szCs w:val="18"/>
              </w:rPr>
              <w:t>Alle Beträge verstehen sich zuzüglich der jeweils gültigen gesetzlichen Umsatzsteuer.</w:t>
            </w:r>
          </w:p>
        </w:tc>
        <w:tc>
          <w:tcPr>
            <w:tcW w:w="5102" w:type="dxa"/>
            <w:tcBorders>
              <w:top w:val="single" w:sz="2" w:space="0" w:color="D9E2E2"/>
              <w:left w:val="single" w:sz="2" w:space="0" w:color="D9E2E2"/>
              <w:bottom w:val="single" w:sz="2" w:space="0" w:color="D9E2E2"/>
              <w:right w:val="single" w:sz="2" w:space="0" w:color="D9E2E2"/>
            </w:tcBorders>
          </w:tcPr>
          <w:p>
            <w:pPr>
              <w:pStyle w:val="Normal"/>
              <w:spacing w:before="0" w:after="80"/>
              <w:rPr/>
            </w:pPr>
            <w:r>
              <w:rPr>
                <w:b/>
                <w:bCs/>
                <w:color w:val="123330"/>
                <w:sz w:val="19"/>
                <w:szCs w:val="19"/>
              </w:rPr>
              <w:t>§ 4 Fees</w:t>
            </w:r>
          </w:p>
          <w:p>
            <w:pPr>
              <w:pStyle w:val="Normal"/>
              <w:spacing w:before="0" w:after="100"/>
              <w:rPr/>
            </w:pPr>
            <w:r>
              <w:rPr>
                <w:color w:val="667085"/>
                <w:sz w:val="18"/>
                <w:szCs w:val="18"/>
              </w:rPr>
              <w:t>Notice pursuant to § 4 (3) StBVV: The Client is advised that a higher or lower fee than the statutory fee may be agreed in text form.</w:t>
            </w:r>
          </w:p>
          <w:p>
            <w:pPr>
              <w:pStyle w:val="Normal"/>
              <w:spacing w:before="0" w:after="100"/>
              <w:rPr/>
            </w:pPr>
            <w:r>
              <w:rPr>
                <w:color w:val="222222"/>
                <w:sz w:val="18"/>
                <w:szCs w:val="18"/>
              </w:rPr>
              <w:t>For the ongoing payroll accounting under § 2, a deviating fee is agreed in the form of a fee agreement (Vergütungsvereinbarung) pursuant to § 4 StBVV, in place of the value-range fee under § 34 StBVV. The flat fee consists of:</w:t>
            </w:r>
          </w:p>
          <w:p>
            <w:pPr>
              <w:pStyle w:val="Normal"/>
              <w:spacing w:before="0" w:after="60"/>
              <w:ind w:left="200"/>
              <w:rPr/>
            </w:pPr>
            <w:r>
              <w:rPr>
                <w:b/>
                <w:bCs/>
                <w:color w:val="1F4B47"/>
                <w:sz w:val="18"/>
                <w:szCs w:val="18"/>
              </w:rPr>
              <w:t xml:space="preserve">–  </w:t>
            </w:r>
            <w:r>
              <w:rPr>
                <w:sz w:val="18"/>
                <w:szCs w:val="18"/>
              </w:rPr>
              <w:t>a one-time setup fee of € 200.00 (covers, among other things, setting up the payroll accounts under § 34 (1) StBVV and the employer registration), and</w:t>
            </w:r>
          </w:p>
          <w:p>
            <w:pPr>
              <w:pStyle w:val="Normal"/>
              <w:spacing w:before="0" w:after="60"/>
              <w:ind w:left="200"/>
              <w:rPr/>
            </w:pPr>
            <w:r>
              <w:rPr>
                <w:b/>
                <w:bCs/>
                <w:color w:val="1F4B47"/>
                <w:sz w:val="18"/>
                <w:szCs w:val="18"/>
              </w:rPr>
              <w:t xml:space="preserve">–  </w:t>
            </w:r>
            <w:r>
              <w:rPr>
                <w:sz w:val="18"/>
                <w:szCs w:val="18"/>
              </w:rPr>
              <w:t>an ongoing monthly flat fee of € 50.00 per employed staff member for maintaining the payroll accounts, monthly payroll and the wage-tax return (§ 34 (2)–(4) StBVV).</w:t>
            </w:r>
          </w:p>
          <w:p>
            <w:pPr>
              <w:pStyle w:val="Normal"/>
              <w:spacing w:before="0" w:after="100"/>
              <w:rPr/>
            </w:pPr>
            <w:r>
              <w:rPr>
                <w:color w:val="222222"/>
                <w:sz w:val="18"/>
                <w:szCs w:val="18"/>
              </w:rPr>
              <w:t>Advisory services beyond the scope described in § 2 (e.g. support during wage-tax or social security audits, special reports) are billed by time spent: € 75.00 per hour, billed to the exact minute. By way of exception, support during a payroll audit by the German Pension Insurance (Deutsche Rentenversicherung) is billed at a flat fee of € 250.00. Time-based services expected to exceed € 500.00 in an individual case shall be agreed with the Client in advance; this does not apply to measures required to meet deadlines where prior consultation is not possible in time.</w:t>
            </w:r>
          </w:p>
          <w:p>
            <w:pPr>
              <w:pStyle w:val="Normal"/>
              <w:spacing w:before="0" w:after="100"/>
              <w:rPr/>
            </w:pPr>
            <w:r>
              <w:rPr>
                <w:color w:val="222222"/>
                <w:sz w:val="18"/>
                <w:szCs w:val="18"/>
              </w:rPr>
              <w:t>The setup fee and the monthly flat fee remain unchanged for the first 60 months from the commencement of this agreement. The Tax Advisor shall announce any subsequent adjustment in text form at least three months before it takes effect; adjustments are guided by the development of the German consumer price index.</w:t>
            </w:r>
          </w:p>
          <w:p>
            <w:pPr>
              <w:pStyle w:val="Normal"/>
              <w:spacing w:before="0" w:after="100"/>
              <w:rPr/>
            </w:pPr>
            <w:r>
              <w:rPr>
                <w:color w:val="222222"/>
                <w:sz w:val="18"/>
                <w:szCs w:val="18"/>
              </w:rPr>
              <w:t>All amounts are exclusive of statutory VAT at the applicable rate.</w:t>
            </w:r>
          </w:p>
        </w:tc>
      </w:tr>
      <w:tr>
        <w:trPr>
          <w:cantSplit w:val="true"/>
        </w:trPr>
        <w:tc>
          <w:tcPr>
            <w:tcW w:w="5103" w:type="dxa"/>
            <w:tcBorders>
              <w:top w:val="single" w:sz="2" w:space="0" w:color="D9E2E2"/>
              <w:left w:val="single" w:sz="2" w:space="0" w:color="D9E2E2"/>
              <w:bottom w:val="single" w:sz="2" w:space="0" w:color="D9E2E2"/>
              <w:right w:val="single" w:sz="2" w:space="0" w:color="D9E2E2"/>
            </w:tcBorders>
          </w:tcPr>
          <w:p>
            <w:pPr>
              <w:pStyle w:val="Normal"/>
              <w:spacing w:before="0" w:after="80"/>
              <w:rPr/>
            </w:pPr>
            <w:r>
              <w:rPr>
                <w:b/>
                <w:bCs/>
                <w:color w:val="123330"/>
                <w:sz w:val="19"/>
                <w:szCs w:val="19"/>
              </w:rPr>
              <w:t>§ 5 Zahlungsbedingungen</w:t>
            </w:r>
          </w:p>
          <w:p>
            <w:pPr>
              <w:pStyle w:val="Normal"/>
              <w:spacing w:before="0" w:after="100"/>
              <w:rPr/>
            </w:pPr>
            <w:r>
              <w:rPr>
                <w:color w:val="222222"/>
                <w:sz w:val="18"/>
                <w:szCs w:val="18"/>
              </w:rPr>
              <w:t>Rechnungen sind, sofern nicht anders vereinbart, innerhalb von 14 Tagen nach Rechnungsstellung ohne Abzug zur Zahlung fällig. Die Einrichtungsgebühr wird nach Abschluss der Arbeitgeberregistrierung, die monatliche Pauschale jeweils zum Ende des Abrechnungsmonats in Rechnung gestellt.</w:t>
            </w:r>
          </w:p>
        </w:tc>
        <w:tc>
          <w:tcPr>
            <w:tcW w:w="5102" w:type="dxa"/>
            <w:tcBorders>
              <w:top w:val="single" w:sz="2" w:space="0" w:color="D9E2E2"/>
              <w:left w:val="single" w:sz="2" w:space="0" w:color="D9E2E2"/>
              <w:bottom w:val="single" w:sz="2" w:space="0" w:color="D9E2E2"/>
              <w:right w:val="single" w:sz="2" w:space="0" w:color="D9E2E2"/>
            </w:tcBorders>
          </w:tcPr>
          <w:p>
            <w:pPr>
              <w:pStyle w:val="Normal"/>
              <w:spacing w:before="0" w:after="80"/>
              <w:rPr/>
            </w:pPr>
            <w:r>
              <w:rPr>
                <w:b/>
                <w:bCs/>
                <w:color w:val="123330"/>
                <w:sz w:val="19"/>
                <w:szCs w:val="19"/>
              </w:rPr>
              <w:t>§ 5 Payment Terms</w:t>
            </w:r>
          </w:p>
          <w:p>
            <w:pPr>
              <w:pStyle w:val="Normal"/>
              <w:spacing w:before="0" w:after="100"/>
              <w:rPr/>
            </w:pPr>
            <w:r>
              <w:rPr>
                <w:color w:val="222222"/>
                <w:sz w:val="18"/>
                <w:szCs w:val="18"/>
              </w:rPr>
              <w:t>Unless otherwise agreed, invoices are due for payment without deduction within 14 days of the invoice date. The setup fee is invoiced upon completion of the employer registration, and the monthly flat fee at the end of each payroll month.</w:t>
            </w:r>
          </w:p>
        </w:tc>
      </w:tr>
      <w:tr>
        <w:trPr>
          <w:cantSplit w:val="true"/>
        </w:trPr>
        <w:tc>
          <w:tcPr>
            <w:tcW w:w="5103" w:type="dxa"/>
            <w:tcBorders>
              <w:top w:val="single" w:sz="2" w:space="0" w:color="D9E2E2"/>
              <w:left w:val="single" w:sz="2" w:space="0" w:color="D9E2E2"/>
              <w:bottom w:val="single" w:sz="2" w:space="0" w:color="D9E2E2"/>
              <w:right w:val="single" w:sz="2" w:space="0" w:color="D9E2E2"/>
            </w:tcBorders>
          </w:tcPr>
          <w:p>
            <w:pPr>
              <w:pStyle w:val="Normal"/>
              <w:spacing w:before="0" w:after="80"/>
              <w:rPr/>
            </w:pPr>
            <w:r>
              <w:rPr>
                <w:b/>
                <w:bCs/>
                <w:color w:val="123330"/>
                <w:sz w:val="19"/>
                <w:szCs w:val="19"/>
              </w:rPr>
              <w:t>§ 6 Zurückbehaltungsrecht</w:t>
            </w:r>
          </w:p>
          <w:p>
            <w:pPr>
              <w:pStyle w:val="Normal"/>
              <w:spacing w:before="0" w:after="100"/>
              <w:rPr/>
            </w:pPr>
            <w:r>
              <w:rPr>
                <w:color w:val="222222"/>
                <w:sz w:val="18"/>
                <w:szCs w:val="18"/>
              </w:rPr>
              <w:t>Solange die Ansprüche des Steuerberaters aus diesem Vertrag nicht vollständig beglichen sind, steht ihm ein Zurückbehaltungsrecht an den von ihm angefertigten Unterlagen sowie an den vom Mandanten zur Verfügung gestellten Unterlagen, insbesondere Buchungsbelegen, zu.</w:t>
            </w:r>
          </w:p>
        </w:tc>
        <w:tc>
          <w:tcPr>
            <w:tcW w:w="5102" w:type="dxa"/>
            <w:tcBorders>
              <w:top w:val="single" w:sz="2" w:space="0" w:color="D9E2E2"/>
              <w:left w:val="single" w:sz="2" w:space="0" w:color="D9E2E2"/>
              <w:bottom w:val="single" w:sz="2" w:space="0" w:color="D9E2E2"/>
              <w:right w:val="single" w:sz="2" w:space="0" w:color="D9E2E2"/>
            </w:tcBorders>
          </w:tcPr>
          <w:p>
            <w:pPr>
              <w:pStyle w:val="Normal"/>
              <w:spacing w:before="0" w:after="80"/>
              <w:rPr/>
            </w:pPr>
            <w:r>
              <w:rPr>
                <w:b/>
                <w:bCs/>
                <w:color w:val="123330"/>
                <w:sz w:val="19"/>
                <w:szCs w:val="19"/>
              </w:rPr>
              <w:t>§ 6 Right of Retention</w:t>
            </w:r>
          </w:p>
          <w:p>
            <w:pPr>
              <w:pStyle w:val="Normal"/>
              <w:spacing w:before="0" w:after="100"/>
              <w:rPr/>
            </w:pPr>
            <w:r>
              <w:rPr>
                <w:color w:val="222222"/>
                <w:sz w:val="18"/>
                <w:szCs w:val="18"/>
              </w:rPr>
              <w:t>Until the Tax Advisor's claims under this agreement have been paid in full, the Tax Advisor is entitled to a right of retention (lien) over documents it has prepared as well as documents provided by the Client, in particular accounting records.</w:t>
            </w:r>
          </w:p>
        </w:tc>
      </w:tr>
      <w:tr>
        <w:trPr>
          <w:cantSplit w:val="true"/>
        </w:trPr>
        <w:tc>
          <w:tcPr>
            <w:tcW w:w="5103" w:type="dxa"/>
            <w:tcBorders>
              <w:top w:val="single" w:sz="2" w:space="0" w:color="D9E2E2"/>
              <w:left w:val="single" w:sz="2" w:space="0" w:color="D9E2E2"/>
              <w:bottom w:val="single" w:sz="2" w:space="0" w:color="D9E2E2"/>
              <w:right w:val="single" w:sz="2" w:space="0" w:color="D9E2E2"/>
            </w:tcBorders>
          </w:tcPr>
          <w:p>
            <w:pPr>
              <w:pStyle w:val="Normal"/>
              <w:spacing w:before="0" w:after="80"/>
              <w:rPr/>
            </w:pPr>
            <w:r>
              <w:rPr>
                <w:b/>
                <w:bCs/>
                <w:color w:val="123330"/>
                <w:sz w:val="19"/>
                <w:szCs w:val="19"/>
              </w:rPr>
              <w:t>§ 7 Mitwirkungspflichten des Mandanten</w:t>
            </w:r>
          </w:p>
          <w:p>
            <w:pPr>
              <w:pStyle w:val="Normal"/>
              <w:spacing w:before="0" w:after="100"/>
              <w:rPr/>
            </w:pPr>
            <w:r>
              <w:rPr>
                <w:color w:val="222222"/>
                <w:sz w:val="18"/>
                <w:szCs w:val="18"/>
              </w:rPr>
              <w:t>Der Mandant stellt dem Steuerberater alle für die Leistungserbringung erforderlichen Informationen und Unterlagen vollständig, richtig und rechtzeitig zur Verfügung, insbesondere Angaben zu den zu beschäftigenden Arbeitnehmern, Gehaltsdaten und Änderungen im Beschäftigungsverhältnis. Verzögerungen oder Fehler, die auf unvollständige oder verspätete Mitwirkung zurückzuführen sind, gehen nicht zulasten des Steuerberaters.</w:t>
            </w:r>
          </w:p>
          <w:p>
            <w:pPr>
              <w:pStyle w:val="Normal"/>
              <w:spacing w:before="0" w:after="100"/>
              <w:rPr/>
            </w:pPr>
            <w:r>
              <w:rPr>
                <w:color w:val="222222"/>
                <w:sz w:val="18"/>
                <w:szCs w:val="18"/>
              </w:rPr>
              <w:t>Änderungen für den laufenden Abrechnungsmonat teilt der Mandant dem Steuerberater bis zum 20. des Monats mit. Liegen bis dahin keine Änderungen vor, erfolgt die Abrechnung auf Grundlage der Daten des Vormonats. Der Steuerberater stellt die Lohnabrechnungen spätestens bis zum 25. des Monats bereit.</w:t>
            </w:r>
          </w:p>
        </w:tc>
        <w:tc>
          <w:tcPr>
            <w:tcW w:w="5102" w:type="dxa"/>
            <w:tcBorders>
              <w:top w:val="single" w:sz="2" w:space="0" w:color="D9E2E2"/>
              <w:left w:val="single" w:sz="2" w:space="0" w:color="D9E2E2"/>
              <w:bottom w:val="single" w:sz="2" w:space="0" w:color="D9E2E2"/>
              <w:right w:val="single" w:sz="2" w:space="0" w:color="D9E2E2"/>
            </w:tcBorders>
          </w:tcPr>
          <w:p>
            <w:pPr>
              <w:pStyle w:val="Normal"/>
              <w:spacing w:before="0" w:after="80"/>
              <w:rPr/>
            </w:pPr>
            <w:r>
              <w:rPr>
                <w:b/>
                <w:bCs/>
                <w:color w:val="123330"/>
                <w:sz w:val="19"/>
                <w:szCs w:val="19"/>
              </w:rPr>
              <w:t>§ 7 Client's Duty to Cooperate</w:t>
            </w:r>
          </w:p>
          <w:p>
            <w:pPr>
              <w:pStyle w:val="Normal"/>
              <w:spacing w:before="0" w:after="100"/>
              <w:rPr/>
            </w:pPr>
            <w:r>
              <w:rPr>
                <w:color w:val="222222"/>
                <w:sz w:val="18"/>
                <w:szCs w:val="18"/>
              </w:rPr>
              <w:t>The Client shall provide the Tax Advisor, completely, accurately and in good time, with all information and documents required to perform the services, in particular details of the employees to be engaged, salary data, and changes to the employment relationship. Delays or errors resulting from incomplete or late cooperation shall not be attributable to the Tax Advisor.</w:t>
            </w:r>
          </w:p>
          <w:p>
            <w:pPr>
              <w:pStyle w:val="Normal"/>
              <w:spacing w:before="0" w:after="100"/>
              <w:rPr/>
            </w:pPr>
            <w:r>
              <w:rPr>
                <w:color w:val="222222"/>
                <w:sz w:val="18"/>
                <w:szCs w:val="18"/>
              </w:rPr>
              <w:t>The Client shall notify the Tax Advisor of any changes for the current payroll month by the 20th of that month. If no changes have been notified by then, payroll is processed on the basis of the previous month’s data. The Tax Advisor shall provide the payslips by the 25th of the month at the latest.</w:t>
            </w:r>
          </w:p>
        </w:tc>
      </w:tr>
      <w:tr>
        <w:trPr>
          <w:cantSplit w:val="true"/>
        </w:trPr>
        <w:tc>
          <w:tcPr>
            <w:tcW w:w="5103" w:type="dxa"/>
            <w:tcBorders>
              <w:top w:val="single" w:sz="2" w:space="0" w:color="D9E2E2"/>
              <w:left w:val="single" w:sz="2" w:space="0" w:color="D9E2E2"/>
              <w:bottom w:val="single" w:sz="2" w:space="0" w:color="D9E2E2"/>
              <w:right w:val="single" w:sz="2" w:space="0" w:color="D9E2E2"/>
            </w:tcBorders>
          </w:tcPr>
          <w:p>
            <w:pPr>
              <w:pStyle w:val="Normal"/>
              <w:spacing w:before="0" w:after="80"/>
              <w:rPr/>
            </w:pPr>
            <w:r>
              <w:rPr>
                <w:b/>
                <w:bCs/>
                <w:color w:val="123330"/>
                <w:sz w:val="19"/>
                <w:szCs w:val="19"/>
              </w:rPr>
              <w:t>§ 8 Vertraulichkeit und Datenschutz</w:t>
            </w:r>
          </w:p>
          <w:p>
            <w:pPr>
              <w:pStyle w:val="Normal"/>
              <w:spacing w:before="0" w:after="100"/>
              <w:rPr/>
            </w:pPr>
            <w:r>
              <w:rPr>
                <w:color w:val="222222"/>
                <w:sz w:val="18"/>
                <w:szCs w:val="18"/>
              </w:rPr>
              <w:t>Der Steuerberater unterliegt der gesetzlichen Verschwiegenheitspflicht nach § 57 StBerG und behandelt alle im Rahmen des Mandats erhaltenen Informationen vertraulich. Die Verarbeitung personenbezogener Daten erfolgt im Einklang mit der Datenschutz-Grundverordnung (DSGVO) und den einschlägigen deutschen Datenschutzvorschriften.</w:t>
            </w:r>
          </w:p>
          <w:p>
            <w:pPr>
              <w:pStyle w:val="Normal"/>
              <w:spacing w:before="0" w:after="100"/>
              <w:rPr/>
            </w:pPr>
            <w:r>
              <w:rPr>
                <w:color w:val="222222"/>
                <w:sz w:val="18"/>
                <w:szCs w:val="18"/>
              </w:rPr>
              <w:t>Übermittelt der Mandant personenbezogene Daten an den Steuerberater, steht er dafür ein, dass er hierzu nach den anwendbaren datenschutzrechtlichen Bestimmungen berechtigt ist, und stellt den Steuerberater von Ansprüchen Dritter frei, die aus einem Verstoß hiergegen resultieren. Sofern die Voraussetzungen einer Auftragsverarbeitung nach Art. 28 DSGVO vorliegen, schließen die Parteien eine gesonderte Vereinbarung zur Auftragsverarbeitung; im Falle von Widersprüchen geht diese Vereinbarung dem vorliegenden Vertrag vor.</w:t>
            </w:r>
          </w:p>
        </w:tc>
        <w:tc>
          <w:tcPr>
            <w:tcW w:w="5102" w:type="dxa"/>
            <w:tcBorders>
              <w:top w:val="single" w:sz="2" w:space="0" w:color="D9E2E2"/>
              <w:left w:val="single" w:sz="2" w:space="0" w:color="D9E2E2"/>
              <w:bottom w:val="single" w:sz="2" w:space="0" w:color="D9E2E2"/>
              <w:right w:val="single" w:sz="2" w:space="0" w:color="D9E2E2"/>
            </w:tcBorders>
          </w:tcPr>
          <w:p>
            <w:pPr>
              <w:pStyle w:val="Normal"/>
              <w:spacing w:before="0" w:after="80"/>
              <w:rPr/>
            </w:pPr>
            <w:r>
              <w:rPr>
                <w:b/>
                <w:bCs/>
                <w:color w:val="123330"/>
                <w:sz w:val="19"/>
                <w:szCs w:val="19"/>
              </w:rPr>
              <w:t>§ 8 Confidentiality and Data Protection</w:t>
            </w:r>
          </w:p>
          <w:p>
            <w:pPr>
              <w:pStyle w:val="Normal"/>
              <w:spacing w:before="0" w:after="100"/>
              <w:rPr/>
            </w:pPr>
            <w:r>
              <w:rPr>
                <w:color w:val="222222"/>
                <w:sz w:val="18"/>
                <w:szCs w:val="18"/>
              </w:rPr>
              <w:t>The Tax Advisor is bound by statutory professional secrecy under § 57 StBerG and treats all information received in connection with the engagement as confidential. Personal data is processed in accordance with the GDPR and applicable German data-protection law.</w:t>
            </w:r>
          </w:p>
          <w:p>
            <w:pPr>
              <w:pStyle w:val="Normal"/>
              <w:spacing w:before="0" w:after="100"/>
              <w:rPr/>
            </w:pPr>
            <w:r>
              <w:rPr>
                <w:color w:val="222222"/>
                <w:sz w:val="18"/>
                <w:szCs w:val="18"/>
              </w:rPr>
              <w:t>Where the Client transmits personal data to the Tax Advisor, the Client warrants that it is authorised to do so under applicable data-protection law and indemnifies the Tax Advisor against third-party claims arising from a breach of this warranty. Where the requirements of a data-processing arrangement under Art. 28 GDPR are met, the parties shall enter into a separate data-processing agreement; in the event of any conflict, that agreement shall prevail over this agreement.</w:t>
            </w:r>
          </w:p>
        </w:tc>
      </w:tr>
      <w:tr>
        <w:trPr>
          <w:cantSplit w:val="true"/>
        </w:trPr>
        <w:tc>
          <w:tcPr>
            <w:tcW w:w="5103" w:type="dxa"/>
            <w:tcBorders>
              <w:top w:val="single" w:sz="2" w:space="0" w:color="D9E2E2"/>
              <w:left w:val="single" w:sz="2" w:space="0" w:color="D9E2E2"/>
              <w:bottom w:val="single" w:sz="2" w:space="0" w:color="D9E2E2"/>
              <w:right w:val="single" w:sz="2" w:space="0" w:color="D9E2E2"/>
            </w:tcBorders>
          </w:tcPr>
          <w:p>
            <w:pPr>
              <w:pStyle w:val="Normal"/>
              <w:spacing w:before="0" w:after="80"/>
              <w:rPr/>
            </w:pPr>
            <w:r>
              <w:rPr>
                <w:b/>
                <w:bCs/>
                <w:color w:val="123330"/>
                <w:sz w:val="19"/>
                <w:szCs w:val="19"/>
              </w:rPr>
              <w:t>§ 9 Elektronische Kommunikation</w:t>
            </w:r>
          </w:p>
          <w:p>
            <w:pPr>
              <w:pStyle w:val="Normal"/>
              <w:spacing w:before="0" w:after="100"/>
              <w:rPr/>
            </w:pPr>
            <w:r>
              <w:rPr>
                <w:color w:val="222222"/>
                <w:sz w:val="18"/>
                <w:szCs w:val="18"/>
              </w:rPr>
              <w:t>Soweit Unterlagen, Dokumente, Arbeitsergebnisse etc. unverschlüsselt in elektronischer Form (z. B. als E-Mail) zwischen dem Mandanten und dem Steuerberater oder sonstigen Dritten (Finanzverwaltung, Banken etc.) versandt werden, besteht grundsätzlich die Gefahr, dass die Daten von unbefugten Dritten abgefangen und gelesen werden. In Kenntnis dieser Gefahr erklärt sich der Mandant mit der unverschlüsselten Übermittlung der Daten an sich bzw. an Dritte (soweit dies im Zusammenhang mit der Beauftragung notwendig bzw. sinnvoll ist) einverstanden. Der Steuerberater übernimmt keine Haftung für die Sicherheit der übermittelten Daten und haftet entsprechend auch nicht für ggf. entstehende Schäden.</w:t>
            </w:r>
          </w:p>
          <w:p>
            <w:pPr>
              <w:pStyle w:val="Normal"/>
              <w:spacing w:before="0" w:after="100"/>
              <w:rPr/>
            </w:pPr>
            <w:r>
              <w:rPr>
                <w:color w:val="222222"/>
                <w:sz w:val="18"/>
                <w:szCs w:val="18"/>
              </w:rPr>
              <w:t>Gebührenrechnungen können daher formlos auf elektronischem Wege (z. B. per E-Mail) übermittelt werden; nach § 9 Abs. 1 StBVV bedarf die Berechnung lediglich der Textform, eine eigenhändige Unterschrift des Steuerberaters oder eine gesonderte Zustimmung des Mandanten hierzu ist nicht erforderlich. Einer qualifizierten elektronischen Signatur nach § 126a BGB bedarf es ebenfalls nicht.</w:t>
            </w:r>
          </w:p>
        </w:tc>
        <w:tc>
          <w:tcPr>
            <w:tcW w:w="5102" w:type="dxa"/>
            <w:tcBorders>
              <w:top w:val="single" w:sz="2" w:space="0" w:color="D9E2E2"/>
              <w:left w:val="single" w:sz="2" w:space="0" w:color="D9E2E2"/>
              <w:bottom w:val="single" w:sz="2" w:space="0" w:color="D9E2E2"/>
              <w:right w:val="single" w:sz="2" w:space="0" w:color="D9E2E2"/>
            </w:tcBorders>
          </w:tcPr>
          <w:p>
            <w:pPr>
              <w:pStyle w:val="Normal"/>
              <w:spacing w:before="0" w:after="80"/>
              <w:rPr/>
            </w:pPr>
            <w:r>
              <w:rPr>
                <w:b/>
                <w:bCs/>
                <w:color w:val="123330"/>
                <w:sz w:val="19"/>
                <w:szCs w:val="19"/>
              </w:rPr>
              <w:t>§ 9 Electronic Communication</w:t>
            </w:r>
          </w:p>
          <w:p>
            <w:pPr>
              <w:pStyle w:val="Normal"/>
              <w:spacing w:before="0" w:after="100"/>
              <w:rPr/>
            </w:pPr>
            <w:r>
              <w:rPr>
                <w:color w:val="222222"/>
                <w:sz w:val="18"/>
                <w:szCs w:val="18"/>
              </w:rPr>
              <w:t>Where documents or work results are exchanged unencrypted by electronic means (e.g. email) between the Client and the Tax Advisor or other third parties (tax authorities, banks, etc.), there is an inherent risk that data may be intercepted or read by unauthorised third parties. Aware of this risk, the Client consents to the unencrypted transmission of data to itself or to third parties, to the extent this is necessary or expedient in connection with the engagement. The Tax Advisor accepts no liability for the security of data transmitted in this way and, accordingly, is likewise not liable for any resulting damage.</w:t>
            </w:r>
          </w:p>
          <w:p>
            <w:pPr>
              <w:pStyle w:val="Normal"/>
              <w:spacing w:before="0" w:after="100"/>
              <w:rPr/>
            </w:pPr>
            <w:r>
              <w:rPr>
                <w:color w:val="222222"/>
                <w:sz w:val="18"/>
                <w:szCs w:val="18"/>
              </w:rPr>
              <w:t>Fee invoices may accordingly be sent by electronic means (e.g. by email) without further formality; under § 9 (1) StBVV the invoice merely requires text form, and neither the Tax Advisor's personal signature nor a separate consent by the Client is required. A qualified electronic signature under § 126a BGB is likewise not required.</w:t>
            </w:r>
          </w:p>
        </w:tc>
      </w:tr>
      <w:tr>
        <w:trPr>
          <w:cantSplit w:val="true"/>
        </w:trPr>
        <w:tc>
          <w:tcPr>
            <w:tcW w:w="5103" w:type="dxa"/>
            <w:tcBorders>
              <w:top w:val="single" w:sz="2" w:space="0" w:color="D9E2E2"/>
              <w:left w:val="single" w:sz="2" w:space="0" w:color="D9E2E2"/>
              <w:bottom w:val="single" w:sz="2" w:space="0" w:color="D9E2E2"/>
              <w:right w:val="single" w:sz="2" w:space="0" w:color="D9E2E2"/>
            </w:tcBorders>
          </w:tcPr>
          <w:p>
            <w:pPr>
              <w:pStyle w:val="Normal"/>
              <w:spacing w:before="0" w:after="80"/>
              <w:rPr/>
            </w:pPr>
            <w:r>
              <w:rPr>
                <w:b/>
                <w:bCs/>
                <w:color w:val="123330"/>
                <w:sz w:val="19"/>
                <w:szCs w:val="19"/>
              </w:rPr>
              <w:t>§ 10 Haftung</w:t>
            </w:r>
          </w:p>
          <w:p>
            <w:pPr>
              <w:pStyle w:val="Normal"/>
              <w:spacing w:before="0" w:after="100"/>
              <w:rPr/>
            </w:pPr>
            <w:r>
              <w:rPr>
                <w:color w:val="222222"/>
                <w:sz w:val="18"/>
                <w:szCs w:val="18"/>
              </w:rPr>
              <w:t>Der Steuerberater haftet für eigenes Verschulden sowie das Verschulden seiner Erfüllungsgehilfen, soweit keine Haftungsbegrenzung oder ein Haftungsausschluss vereinbart ist. Für mündlich erteilte Auskünfte haftet der Steuerberater nur, wenn sie in Textform bestätigt wurden.</w:t>
            </w:r>
          </w:p>
          <w:p>
            <w:pPr>
              <w:pStyle w:val="Normal"/>
              <w:spacing w:before="0" w:after="100"/>
              <w:rPr/>
            </w:pPr>
            <w:r>
              <w:rPr>
                <w:color w:val="222222"/>
                <w:sz w:val="18"/>
                <w:szCs w:val="18"/>
              </w:rPr>
              <w:t>Die Haftung des Steuerberaters für einfache Fahrlässigkeit ist der Höhe nach auf den in seiner Berufshaftpflichtversicherung vorgesehenen Mindestversicherungsbetrag beschränkt, soweit gesetzlich zulässig; diese Bestimmung steht unter dem Vorbehalt einer wirksamen individuellen Vereinbarung gemäß § 67a StBerG. Die Haftungsbeschränkung gilt nicht für Vorsatz und grobe Fahrlässigkeit sowie nicht für Schäden aus der Verletzung des Lebens, des Körpers oder der Gesundheit.</w:t>
            </w:r>
          </w:p>
          <w:p>
            <w:pPr>
              <w:pStyle w:val="Normal"/>
              <w:spacing w:before="0" w:after="100"/>
              <w:rPr/>
            </w:pPr>
            <w:r>
              <w:rPr>
                <w:color w:val="222222"/>
                <w:sz w:val="18"/>
                <w:szCs w:val="18"/>
              </w:rPr>
              <w:t>Die vorstehende Haftungsbeschränkung gilt für die gesamte Tätigkeit des Steuerberaters für den Mandanten, insbesondere für die in § 2 vereinbarten Tätigkeiten und etwaige Folgeaufträge, ohne dass es einer erneuten Vereinbarung bedarf.</w:t>
            </w:r>
          </w:p>
        </w:tc>
        <w:tc>
          <w:tcPr>
            <w:tcW w:w="5102" w:type="dxa"/>
            <w:tcBorders>
              <w:top w:val="single" w:sz="2" w:space="0" w:color="D9E2E2"/>
              <w:left w:val="single" w:sz="2" w:space="0" w:color="D9E2E2"/>
              <w:bottom w:val="single" w:sz="2" w:space="0" w:color="D9E2E2"/>
              <w:right w:val="single" w:sz="2" w:space="0" w:color="D9E2E2"/>
            </w:tcBorders>
          </w:tcPr>
          <w:p>
            <w:pPr>
              <w:pStyle w:val="Normal"/>
              <w:spacing w:before="0" w:after="80"/>
              <w:rPr/>
            </w:pPr>
            <w:r>
              <w:rPr>
                <w:b/>
                <w:bCs/>
                <w:color w:val="123330"/>
                <w:sz w:val="19"/>
                <w:szCs w:val="19"/>
              </w:rPr>
              <w:t>§ 10 Liability</w:t>
            </w:r>
          </w:p>
          <w:p>
            <w:pPr>
              <w:pStyle w:val="Normal"/>
              <w:spacing w:before="0" w:after="100"/>
              <w:rPr/>
            </w:pPr>
            <w:r>
              <w:rPr>
                <w:color w:val="222222"/>
                <w:sz w:val="18"/>
                <w:szCs w:val="18"/>
              </w:rPr>
              <w:t>The Tax Advisor is liable for its own fault and for the fault of its vicarious agents, to the extent no limitation or exclusion of liability has been agreed. The Tax Advisor is liable for information given orally only where it has been confirmed in text form.</w:t>
            </w:r>
          </w:p>
          <w:p>
            <w:pPr>
              <w:pStyle w:val="Normal"/>
              <w:spacing w:before="0" w:after="100"/>
              <w:rPr/>
            </w:pPr>
            <w:r>
              <w:rPr>
                <w:color w:val="222222"/>
                <w:sz w:val="18"/>
                <w:szCs w:val="18"/>
              </w:rPr>
              <w:t>To the extent legally permissible, the Tax Advisor's liability for simple negligence is limited to the minimum sum insured under the Tax Advisor's professional indemnity insurance; this clause is subject to a valid individual agreement pursuant to § 67a StBerG. This limitation of liability does not apply to intent or gross negligence, nor to damages arising from injury to life, body or health.</w:t>
            </w:r>
          </w:p>
          <w:p>
            <w:pPr>
              <w:pStyle w:val="Normal"/>
              <w:spacing w:before="0" w:after="100"/>
              <w:rPr/>
            </w:pPr>
            <w:r>
              <w:rPr>
                <w:color w:val="222222"/>
                <w:sz w:val="18"/>
                <w:szCs w:val="18"/>
              </w:rPr>
              <w:t>The above limitation of liability applies to the Tax Advisor's entire activity for the Client, in particular the services agreed in § 2 and any follow-on engagements, without the need for a renewed agreement.</w:t>
            </w:r>
          </w:p>
        </w:tc>
      </w:tr>
      <w:tr>
        <w:trPr>
          <w:cantSplit w:val="true"/>
        </w:trPr>
        <w:tc>
          <w:tcPr>
            <w:tcW w:w="5103" w:type="dxa"/>
            <w:tcBorders>
              <w:top w:val="single" w:sz="2" w:space="0" w:color="D9E2E2"/>
              <w:left w:val="single" w:sz="2" w:space="0" w:color="D9E2E2"/>
              <w:bottom w:val="single" w:sz="2" w:space="0" w:color="D9E2E2"/>
              <w:right w:val="single" w:sz="2" w:space="0" w:color="D9E2E2"/>
            </w:tcBorders>
          </w:tcPr>
          <w:p>
            <w:pPr>
              <w:pStyle w:val="Normal"/>
              <w:spacing w:before="0" w:after="80"/>
              <w:rPr/>
            </w:pPr>
            <w:r>
              <w:rPr>
                <w:b/>
                <w:bCs/>
                <w:color w:val="123330"/>
                <w:sz w:val="19"/>
                <w:szCs w:val="19"/>
              </w:rPr>
              <w:t>§ 11 Mitwirkung Dritter</w:t>
            </w:r>
          </w:p>
          <w:p>
            <w:pPr>
              <w:pStyle w:val="Normal"/>
              <w:spacing w:before="0" w:after="100"/>
              <w:rPr/>
            </w:pPr>
            <w:r>
              <w:rPr>
                <w:color w:val="222222"/>
                <w:sz w:val="18"/>
                <w:szCs w:val="18"/>
              </w:rPr>
              <w:t>Der Steuerberater ist berechtigt, zur Ausführung des Auftrags Mitarbeiter, fachkundige Dritte sowie Datenverarbeitungsdienstleister heranzuziehen, die berufsmäßig oder durch entsprechende vertragliche Verpflichtung zur Verschwiegenheit verpflichtet sind.</w:t>
            </w:r>
          </w:p>
        </w:tc>
        <w:tc>
          <w:tcPr>
            <w:tcW w:w="5102" w:type="dxa"/>
            <w:tcBorders>
              <w:top w:val="single" w:sz="2" w:space="0" w:color="D9E2E2"/>
              <w:left w:val="single" w:sz="2" w:space="0" w:color="D9E2E2"/>
              <w:bottom w:val="single" w:sz="2" w:space="0" w:color="D9E2E2"/>
              <w:right w:val="single" w:sz="2" w:space="0" w:color="D9E2E2"/>
            </w:tcBorders>
          </w:tcPr>
          <w:p>
            <w:pPr>
              <w:pStyle w:val="Normal"/>
              <w:spacing w:before="0" w:after="80"/>
              <w:rPr/>
            </w:pPr>
            <w:r>
              <w:rPr>
                <w:b/>
                <w:bCs/>
                <w:color w:val="123330"/>
                <w:sz w:val="19"/>
                <w:szCs w:val="19"/>
              </w:rPr>
              <w:t>§ 11 Involvement of Third Parties</w:t>
            </w:r>
          </w:p>
          <w:p>
            <w:pPr>
              <w:pStyle w:val="Normal"/>
              <w:spacing w:before="0" w:after="100"/>
              <w:rPr/>
            </w:pPr>
            <w:r>
              <w:rPr>
                <w:color w:val="222222"/>
                <w:sz w:val="18"/>
                <w:szCs w:val="18"/>
              </w:rPr>
              <w:t>The Tax Advisor is entitled to engage employees, qualified third parties and data-processing service providers to perform the engagement, provided they are bound to confidentiality either professionally or by corresponding contractual obligation.</w:t>
            </w:r>
          </w:p>
        </w:tc>
      </w:tr>
      <w:tr>
        <w:trPr/>
        <w:tc>
          <w:tcPr>
            <w:tcW w:w="5103" w:type="dxa"/>
            <w:tcBorders>
              <w:top w:val="single" w:sz="2" w:space="0" w:color="D9E2E2"/>
              <w:left w:val="single" w:sz="2" w:space="0" w:color="D9E2E2"/>
              <w:bottom w:val="single" w:sz="2" w:space="0" w:color="D9E2E2"/>
              <w:right w:val="single" w:sz="2" w:space="0" w:color="D9E2E2"/>
            </w:tcBorders>
          </w:tcPr>
          <w:p>
            <w:pPr>
              <w:pStyle w:val="Normal"/>
              <w:spacing w:before="0" w:after="80"/>
              <w:rPr/>
            </w:pPr>
            <w:r>
              <w:rPr>
                <w:b/>
                <w:bCs/>
                <w:color w:val="123330"/>
                <w:sz w:val="19"/>
                <w:szCs w:val="19"/>
              </w:rPr>
              <w:t>§ 12 Vertragsdauer, Kündigung und Handakten</w:t>
            </w:r>
          </w:p>
          <w:p>
            <w:pPr>
              <w:pStyle w:val="Normal"/>
              <w:spacing w:before="0" w:after="100"/>
              <w:rPr/>
            </w:pPr>
            <w:r>
              <w:rPr>
                <w:color w:val="222222"/>
                <w:sz w:val="18"/>
                <w:szCs w:val="18"/>
              </w:rPr>
              <w:t>Der Vertrag wird auf unbestimmte Zeit geschlossen und beginnt mit Unterzeichnung durch beide Parteien. Der Steuerberater reicht die Arbeitgeberregistrierung innerhalb von zehn Arbeitstagen nach Eingang der vollständigen Unterlagen und der unterzeichneten Vollmacht ein. Die monatliche Pauschale fällt ab dem ersten Abrechnungsmonat an. Der Vertrag kann von jeder Partei innerhalb eines laufenden Monats mit Wirkung zum Ende desselben Monats gekündigt werden. Das Recht zur außerordentlichen Kündigung aus wichtigem Grund gemäß § 626 BGB bleibt unberührt. Die einmalige Einrichtungsgebühr ist nicht erstattungsfähig.</w:t>
            </w:r>
          </w:p>
          <w:p>
            <w:pPr>
              <w:pStyle w:val="Normal"/>
              <w:spacing w:before="0" w:after="100"/>
              <w:rPr/>
            </w:pPr>
            <w:r>
              <w:rPr>
                <w:color w:val="222222"/>
                <w:sz w:val="18"/>
                <w:szCs w:val="18"/>
              </w:rPr>
              <w:t>Nach Beendigung des Mandats stellt der Steuerberater dem Mandanten die überlassenen Unterlagen zur Abholung bereit; bei elektronischer Aktenführung kann die Übergabe nach Wahl des Steuerberaters elektronisch oder in Papierform erfolgen. Die Lohndaten stellt der Steuerberater dem Mandanten innerhalb von 14 Tagen nach Vertragsende zusätzlich in einem gängigen maschinenlesbaren Format (z. B. CSV) sowie die Lohnkonten und Abrechnungen als PDF zur Verfügung; § 6 bleibt unberührt. Der Steuerberater bewahrt die Handakten zehn Jahre nach Beendigung des Auftrags auf, mindestens jedoch bis zum Ablauf der für den Mandanten geltenden gesetzlichen Aufbewahrungsfristen.</w:t>
            </w:r>
          </w:p>
          <w:p>
            <w:pPr>
              <w:pStyle w:val="Normal"/>
              <w:spacing w:before="0" w:after="100"/>
              <w:rPr/>
            </w:pPr>
            <w:r>
              <w:rPr>
                <w:color w:val="222222"/>
                <w:sz w:val="18"/>
                <w:szCs w:val="18"/>
              </w:rPr>
              <w:t>Während der Dauer des Mandats führt der Steuerberater die Entgeltunterlagen des Mandanten und bewahrt sie im Inland auf (§ 28f Abs. 1 SGB IV). Nach Beendigung des Mandats gibt er sie an den Mandanten heraus; ab der Herausgabe obliegt die Aufbewahrung nach § 28f SGB IV dem Mandanten.</w:t>
            </w:r>
          </w:p>
        </w:tc>
        <w:tc>
          <w:tcPr>
            <w:tcW w:w="5102" w:type="dxa"/>
            <w:tcBorders>
              <w:top w:val="single" w:sz="2" w:space="0" w:color="D9E2E2"/>
              <w:left w:val="single" w:sz="2" w:space="0" w:color="D9E2E2"/>
              <w:bottom w:val="single" w:sz="2" w:space="0" w:color="D9E2E2"/>
              <w:right w:val="single" w:sz="2" w:space="0" w:color="D9E2E2"/>
            </w:tcBorders>
          </w:tcPr>
          <w:p>
            <w:pPr>
              <w:pStyle w:val="Normal"/>
              <w:spacing w:before="0" w:after="80"/>
              <w:rPr/>
            </w:pPr>
            <w:r>
              <w:rPr>
                <w:b/>
                <w:bCs/>
                <w:color w:val="123330"/>
                <w:sz w:val="19"/>
                <w:szCs w:val="19"/>
              </w:rPr>
              <w:t>§ 12 Term, Termination and File Retention</w:t>
            </w:r>
          </w:p>
          <w:p>
            <w:pPr>
              <w:pStyle w:val="Normal"/>
              <w:spacing w:before="0" w:after="100"/>
              <w:rPr/>
            </w:pPr>
            <w:r>
              <w:rPr>
                <w:color w:val="222222"/>
                <w:sz w:val="18"/>
                <w:szCs w:val="18"/>
              </w:rPr>
              <w:t>This agreement is concluded for an indefinite term and commences upon signature by both parties. The Tax Advisor shall submit the employer registration within ten working days of receiving the complete documents and the signed power of attorney. The monthly flat fee is payable from the first payroll month. Either party may terminate this agreement at any time during a given month, with effect from the end of that same month. The right to extraordinary termination for good cause under § 626 BGB remains unaffected. The one-time setup fee is non-refundable.</w:t>
            </w:r>
          </w:p>
          <w:p>
            <w:pPr>
              <w:pStyle w:val="Normal"/>
              <w:spacing w:before="0" w:after="100"/>
              <w:rPr/>
            </w:pPr>
            <w:r>
              <w:rPr>
                <w:color w:val="222222"/>
                <w:sz w:val="18"/>
                <w:szCs w:val="18"/>
              </w:rPr>
              <w:t>After the engagement ends, the Tax Advisor shall make the documents handed over by the Client available for collection; where files are kept electronically, handover may, at the Tax Advisor's discretion, be made electronically or in paper form. In addition, the Tax Advisor shall provide the Client with the payroll data in a common machine-readable format (e.g. CSV), together with the payroll accounts and payslips as PDF, within 14 days of the end of the agreement; § 6 remains unaffected. The Tax Advisor shall retain the working file for ten years after the engagement ends, but in any event until the expiry of the statutory retention periods applicable to the Client.</w:t>
            </w:r>
          </w:p>
          <w:p>
            <w:pPr>
              <w:pStyle w:val="Normal"/>
              <w:spacing w:before="0" w:after="100"/>
              <w:rPr/>
            </w:pPr>
            <w:r>
              <w:rPr>
                <w:color w:val="222222"/>
                <w:sz w:val="18"/>
                <w:szCs w:val="18"/>
              </w:rPr>
              <w:t>For the duration of the engagement, the Tax Advisor keeps the Client’s payroll records and stores them in Germany (§ 28f (1) SGB IV). After the engagement ends, the Tax Advisor hands them over to the Client; from handover onwards, retention under § 28f SGB IV is the responsibility of the Client.</w:t>
            </w:r>
          </w:p>
        </w:tc>
      </w:tr>
      <w:tr>
        <w:trPr>
          <w:cantSplit w:val="true"/>
        </w:trPr>
        <w:tc>
          <w:tcPr>
            <w:tcW w:w="5103" w:type="dxa"/>
            <w:tcBorders>
              <w:top w:val="single" w:sz="2" w:space="0" w:color="D9E2E2"/>
              <w:left w:val="single" w:sz="2" w:space="0" w:color="D9E2E2"/>
              <w:bottom w:val="single" w:sz="2" w:space="0" w:color="D9E2E2"/>
              <w:right w:val="single" w:sz="2" w:space="0" w:color="D9E2E2"/>
            </w:tcBorders>
          </w:tcPr>
          <w:p>
            <w:pPr>
              <w:pStyle w:val="Normal"/>
              <w:spacing w:before="0" w:after="80"/>
              <w:rPr/>
            </w:pPr>
            <w:r>
              <w:rPr>
                <w:b/>
                <w:bCs/>
                <w:color w:val="123330"/>
                <w:sz w:val="19"/>
                <w:szCs w:val="19"/>
              </w:rPr>
              <w:t>§ 13 Allgemeine Geschäftsbedingungen</w:t>
            </w:r>
          </w:p>
          <w:p>
            <w:pPr>
              <w:pStyle w:val="Normal"/>
              <w:spacing w:before="0" w:after="100"/>
              <w:rPr/>
            </w:pPr>
            <w:r>
              <w:rPr>
                <w:color w:val="222222"/>
                <w:sz w:val="18"/>
                <w:szCs w:val="18"/>
              </w:rPr>
              <w:t>Die als Anlage beigefügten „Allgemeinen Geschäftsbedingungen für Steuerberater und steuerberatende Berufsausübungsgesellschaften“ sind dem Mandanten bekannt und werden Bestandteil dieses Vertrags. Bei Abweichungen geht dieser Vertrag den Allgemeinen Geschäftsbedingungen vor.</w:t>
            </w:r>
          </w:p>
        </w:tc>
        <w:tc>
          <w:tcPr>
            <w:tcW w:w="5102" w:type="dxa"/>
            <w:tcBorders>
              <w:top w:val="single" w:sz="2" w:space="0" w:color="D9E2E2"/>
              <w:left w:val="single" w:sz="2" w:space="0" w:color="D9E2E2"/>
              <w:bottom w:val="single" w:sz="2" w:space="0" w:color="D9E2E2"/>
              <w:right w:val="single" w:sz="2" w:space="0" w:color="D9E2E2"/>
            </w:tcBorders>
          </w:tcPr>
          <w:p>
            <w:pPr>
              <w:pStyle w:val="Normal"/>
              <w:spacing w:before="0" w:after="80"/>
              <w:rPr/>
            </w:pPr>
            <w:r>
              <w:rPr>
                <w:b/>
                <w:bCs/>
                <w:color w:val="123330"/>
                <w:sz w:val="19"/>
                <w:szCs w:val="19"/>
              </w:rPr>
              <w:t>§ 13 General Terms and Conditions</w:t>
            </w:r>
          </w:p>
          <w:p>
            <w:pPr>
              <w:pStyle w:val="Normal"/>
              <w:spacing w:before="0" w:after="100"/>
              <w:rPr/>
            </w:pPr>
            <w:r>
              <w:rPr>
                <w:color w:val="222222"/>
                <w:sz w:val="18"/>
                <w:szCs w:val="18"/>
              </w:rPr>
              <w:t>The “General Terms and Conditions for Tax Advisors and Tax Advisory Professional Practice Companies” attached as an annex are known to the Client and form part of this agreement. In the event of any discrepancy, this agreement takes precedence over the General Terms and Conditions.</w:t>
            </w:r>
          </w:p>
        </w:tc>
      </w:tr>
      <w:tr>
        <w:trPr>
          <w:cantSplit w:val="true"/>
        </w:trPr>
        <w:tc>
          <w:tcPr>
            <w:tcW w:w="5103" w:type="dxa"/>
            <w:tcBorders>
              <w:top w:val="single" w:sz="2" w:space="0" w:color="D9E2E2"/>
              <w:left w:val="single" w:sz="2" w:space="0" w:color="D9E2E2"/>
              <w:bottom w:val="single" w:sz="2" w:space="0" w:color="D9E2E2"/>
              <w:right w:val="single" w:sz="2" w:space="0" w:color="D9E2E2"/>
            </w:tcBorders>
          </w:tcPr>
          <w:p>
            <w:pPr>
              <w:pStyle w:val="Normal"/>
              <w:spacing w:before="0" w:after="80"/>
              <w:rPr/>
            </w:pPr>
            <w:r>
              <w:rPr>
                <w:b/>
                <w:bCs/>
                <w:color w:val="123330"/>
                <w:sz w:val="19"/>
                <w:szCs w:val="19"/>
              </w:rPr>
              <w:t>§ 14 Schlussbestimmungen</w:t>
            </w:r>
          </w:p>
          <w:p>
            <w:pPr>
              <w:pStyle w:val="Normal"/>
              <w:spacing w:before="0" w:after="100"/>
              <w:rPr/>
            </w:pPr>
            <w:r>
              <w:rPr>
                <w:color w:val="222222"/>
                <w:sz w:val="18"/>
                <w:szCs w:val="18"/>
              </w:rPr>
              <w:t>Es gilt deutsches Recht. Änderungen und Ergänzungen dieses Vertrags bedürfen der Textform gemäß § 126b BGB; Nebenabreden bestehen nicht. Erfüllungsort ist der Ort der beruflichen Niederlassung des Steuerberaters.</w:t>
            </w:r>
          </w:p>
          <w:p>
            <w:pPr>
              <w:pStyle w:val="Normal"/>
              <w:spacing w:before="0" w:after="100"/>
              <w:rPr/>
            </w:pPr>
            <w:r>
              <w:rPr>
                <w:color w:val="222222"/>
                <w:sz w:val="18"/>
                <w:szCs w:val="18"/>
              </w:rPr>
              <w:t>Ist der Mandant Kaufmann, eine juristische Person des öffentlichen Rechts oder ein öffentlich-rechtliches Sondervermögen, oder hat er keinen allgemeinen Gerichtsstand im Inland, ist, soweit gesetzlich zulässig, der Sitz des Steuerberaters ausschließlicher Gerichtsstand für Streitigkeiten aus oder im Zusammenhang mit diesem Vertrag.</w:t>
            </w:r>
          </w:p>
          <w:p>
            <w:pPr>
              <w:pStyle w:val="Normal"/>
              <w:spacing w:before="0" w:after="100"/>
              <w:rPr/>
            </w:pPr>
            <w:r>
              <w:rPr>
                <w:color w:val="222222"/>
                <w:sz w:val="18"/>
                <w:szCs w:val="18"/>
              </w:rPr>
              <w:t>Sollte eine Bestimmung dieses Vertrags unwirksam sein, bleibt die Wirksamkeit der übrigen Bestimmungen unberührt; die unwirksame Bestimmung ist durch eine wirksame zu ersetzen, die dem angestrebten Ziel am nächsten kommt.</w:t>
            </w:r>
          </w:p>
          <w:p>
            <w:pPr>
              <w:pStyle w:val="Normal"/>
              <w:spacing w:before="0" w:after="100"/>
              <w:rPr/>
            </w:pPr>
            <w:r>
              <w:rPr>
                <w:color w:val="222222"/>
                <w:sz w:val="18"/>
                <w:szCs w:val="18"/>
              </w:rPr>
              <w:t>Dieser Vertrag ist in deutscher und englischer Sprache abgefasst. Maßgeblich ist die deutsche Fassung.</w:t>
            </w:r>
          </w:p>
        </w:tc>
        <w:tc>
          <w:tcPr>
            <w:tcW w:w="5102" w:type="dxa"/>
            <w:tcBorders>
              <w:top w:val="single" w:sz="2" w:space="0" w:color="D9E2E2"/>
              <w:left w:val="single" w:sz="2" w:space="0" w:color="D9E2E2"/>
              <w:bottom w:val="single" w:sz="2" w:space="0" w:color="D9E2E2"/>
              <w:right w:val="single" w:sz="2" w:space="0" w:color="D9E2E2"/>
            </w:tcBorders>
          </w:tcPr>
          <w:p>
            <w:pPr>
              <w:pStyle w:val="Normal"/>
              <w:spacing w:before="0" w:after="80"/>
              <w:rPr/>
            </w:pPr>
            <w:r>
              <w:rPr>
                <w:b/>
                <w:bCs/>
                <w:color w:val="123330"/>
                <w:sz w:val="19"/>
                <w:szCs w:val="19"/>
              </w:rPr>
              <w:t>§ 14 Final Provisions</w:t>
            </w:r>
          </w:p>
          <w:p>
            <w:pPr>
              <w:pStyle w:val="Normal"/>
              <w:spacing w:before="0" w:after="100"/>
              <w:rPr/>
            </w:pPr>
            <w:r>
              <w:rPr>
                <w:color w:val="222222"/>
                <w:sz w:val="18"/>
                <w:szCs w:val="18"/>
              </w:rPr>
              <w:t>This agreement is governed by German law. Amendments and additions to this agreement require text form pursuant to § 126b BGB; no side agreements exist. The place of performance is the Tax Advisor's place of business.</w:t>
            </w:r>
          </w:p>
          <w:p>
            <w:pPr>
              <w:pStyle w:val="Normal"/>
              <w:spacing w:before="0" w:after="100"/>
              <w:rPr/>
            </w:pPr>
            <w:r>
              <w:rPr>
                <w:color w:val="222222"/>
                <w:sz w:val="18"/>
                <w:szCs w:val="18"/>
              </w:rPr>
              <w:t>Where the Client is a merchant (Kaufmann), a legal entity under public law, a special fund under public law, or has no general place of jurisdiction in Germany, then, to the extent legally permissible, the registered seat of the Tax Advisor is the exclusive place of jurisdiction for disputes arising out of or in connection with this agreement.</w:t>
            </w:r>
          </w:p>
          <w:p>
            <w:pPr>
              <w:pStyle w:val="Normal"/>
              <w:spacing w:before="0" w:after="100"/>
              <w:rPr/>
            </w:pPr>
            <w:r>
              <w:rPr>
                <w:color w:val="222222"/>
                <w:sz w:val="18"/>
                <w:szCs w:val="18"/>
              </w:rPr>
              <w:t>Should any provision of this agreement be invalid, the validity of the remaining provisions shall not be affected; the invalid provision shall be replaced by a valid provision that comes closest to its intended purpose.</w:t>
            </w:r>
          </w:p>
          <w:p>
            <w:pPr>
              <w:pStyle w:val="Normal"/>
              <w:spacing w:before="0" w:after="100"/>
              <w:rPr/>
            </w:pPr>
            <w:r>
              <w:rPr>
                <w:color w:val="222222"/>
                <w:sz w:val="18"/>
                <w:szCs w:val="18"/>
              </w:rPr>
              <w:t>This agreement is drawn up in German and English. The German version shall prevail.</w:t>
            </w:r>
          </w:p>
        </w:tc>
      </w:tr>
    </w:tbl>
    <w:p>
      <w:pPr>
        <w:pStyle w:val="Normal"/>
        <w:pBdr>
          <w:bottom w:val="single" w:sz="8" w:space="4" w:color="1F4B47"/>
        </w:pBdr>
        <w:spacing w:before="260" w:after="100"/>
        <w:rPr/>
      </w:pPr>
      <w:r>
        <w:rPr>
          <w:b/>
          <w:bCs/>
          <w:color w:val="1F4B47"/>
          <w:spacing w:val="20"/>
          <w:sz w:val="20"/>
          <w:szCs w:val="20"/>
        </w:rPr>
        <w:t>UNTERSCHRIFTEN</w:t>
      </w:r>
      <w:r>
        <w:rPr>
          <w:color w:val="667085"/>
          <w:sz w:val="18"/>
          <w:szCs w:val="18"/>
        </w:rPr>
        <w:t xml:space="preserve">   /   </w:t>
      </w:r>
      <w:r>
        <w:rPr>
          <w:b/>
          <w:bCs/>
          <w:i/>
          <w:iCs/>
          <w:color w:val="1F4B47"/>
          <w:spacing w:val="20"/>
          <w:sz w:val="20"/>
          <w:szCs w:val="20"/>
        </w:rPr>
        <w:t>SIGNATURES</w:t>
      </w:r>
    </w:p>
    <w:p>
      <w:pPr>
        <w:pStyle w:val="Normal"/>
        <w:spacing w:before="120" w:after="200"/>
        <w:rPr/>
      </w:pPr>
      <w:r>
        <w:rPr/>
      </w:r>
    </w:p>
    <w:tbl>
      <w:tblPr>
        <w:tblW w:w="10206" w:type="dxa"/>
        <w:jc w:val="left"/>
        <w:tblInd w:w="0" w:type="dxa"/>
        <w:tblLayout w:type="fixed"/>
        <w:tblCellMar>
          <w:top w:w="0" w:type="dxa"/>
          <w:left w:w="108" w:type="dxa"/>
          <w:bottom w:w="0" w:type="dxa"/>
          <w:right w:w="108" w:type="dxa"/>
        </w:tblCellMar>
      </w:tblPr>
      <w:tblGrid>
        <w:gridCol w:w="4852"/>
        <w:gridCol w:w="501"/>
        <w:gridCol w:w="4853"/>
      </w:tblGrid>
      <w:tr>
        <w:trPr>
          <w:trHeight w:val="600" w:hRule="atLeast"/>
          <w:cantSplit w:val="true"/>
        </w:trPr>
        <w:tc>
          <w:tcPr>
            <w:tcW w:w="4852" w:type="dxa"/>
            <w:tcBorders>
              <w:bottom w:val="single" w:sz="6" w:space="0" w:color="667085"/>
            </w:tcBorders>
          </w:tcPr>
          <w:p>
            <w:pPr>
              <w:pStyle w:val="Normal"/>
              <w:spacing w:before="40" w:after="0"/>
              <w:rPr/>
            </w:pPr>
            <w:r>
              <w:rPr/>
            </w:r>
          </w:p>
        </w:tc>
        <w:tc>
          <w:tcPr>
            <w:tcW w:w="501" w:type="dxa"/>
            <w:tcBorders/>
          </w:tcPr>
          <w:p>
            <w:pPr>
              <w:pStyle w:val="Normal"/>
              <w:spacing w:before="40" w:after="0"/>
              <w:rPr/>
            </w:pPr>
            <w:r>
              <w:rPr/>
            </w:r>
          </w:p>
        </w:tc>
        <w:tc>
          <w:tcPr>
            <w:tcW w:w="4853" w:type="dxa"/>
            <w:tcBorders>
              <w:bottom w:val="single" w:sz="6" w:space="0" w:color="667085"/>
            </w:tcBorders>
          </w:tcPr>
          <w:p>
            <w:pPr>
              <w:pStyle w:val="Normal"/>
              <w:spacing w:before="40" w:after="0"/>
              <w:rPr/>
            </w:pPr>
            <w:r>
              <w:rPr/>
            </w:r>
          </w:p>
        </w:tc>
      </w:tr>
      <w:tr>
        <w:trPr>
          <w:cantSplit w:val="true"/>
        </w:trPr>
        <w:tc>
          <w:tcPr>
            <w:tcW w:w="4852" w:type="dxa"/>
            <w:tcBorders/>
          </w:tcPr>
          <w:p>
            <w:pPr>
              <w:pStyle w:val="Normal"/>
              <w:spacing w:before="40" w:after="0"/>
              <w:rPr/>
            </w:pPr>
            <w:r>
              <w:rPr>
                <w:color w:val="667085"/>
                <w:sz w:val="14"/>
                <w:szCs w:val="14"/>
              </w:rPr>
              <w:t>Ort, Datum / Place, date</w:t>
            </w:r>
          </w:p>
        </w:tc>
        <w:tc>
          <w:tcPr>
            <w:tcW w:w="501" w:type="dxa"/>
            <w:tcBorders/>
          </w:tcPr>
          <w:p>
            <w:pPr>
              <w:pStyle w:val="Normal"/>
              <w:spacing w:before="40" w:after="0"/>
              <w:rPr/>
            </w:pPr>
            <w:r>
              <w:rPr/>
            </w:r>
          </w:p>
        </w:tc>
        <w:tc>
          <w:tcPr>
            <w:tcW w:w="4853" w:type="dxa"/>
            <w:tcBorders/>
          </w:tcPr>
          <w:p>
            <w:pPr>
              <w:pStyle w:val="Normal"/>
              <w:spacing w:before="40" w:after="0"/>
              <w:rPr/>
            </w:pPr>
            <w:r>
              <w:rPr>
                <w:color w:val="667085"/>
                <w:sz w:val="14"/>
                <w:szCs w:val="14"/>
              </w:rPr>
              <w:t>Ort, Datum / Place, date</w:t>
            </w:r>
          </w:p>
        </w:tc>
      </w:tr>
      <w:tr>
        <w:trPr>
          <w:trHeight w:val="800" w:hRule="atLeast"/>
          <w:cantSplit w:val="true"/>
        </w:trPr>
        <w:tc>
          <w:tcPr>
            <w:tcW w:w="4852" w:type="dxa"/>
            <w:tcBorders>
              <w:bottom w:val="single" w:sz="6" w:space="0" w:color="667085"/>
            </w:tcBorders>
          </w:tcPr>
          <w:p>
            <w:pPr>
              <w:pStyle w:val="Normal"/>
              <w:spacing w:before="40" w:after="0"/>
              <w:rPr/>
            </w:pPr>
            <w:r>
              <w:rPr/>
            </w:r>
          </w:p>
        </w:tc>
        <w:tc>
          <w:tcPr>
            <w:tcW w:w="501" w:type="dxa"/>
            <w:tcBorders/>
          </w:tcPr>
          <w:p>
            <w:pPr>
              <w:pStyle w:val="Normal"/>
              <w:spacing w:before="40" w:after="0"/>
              <w:rPr/>
            </w:pPr>
            <w:r>
              <w:rPr/>
            </w:r>
          </w:p>
        </w:tc>
        <w:tc>
          <w:tcPr>
            <w:tcW w:w="4853" w:type="dxa"/>
            <w:tcBorders>
              <w:bottom w:val="single" w:sz="6" w:space="0" w:color="667085"/>
            </w:tcBorders>
          </w:tcPr>
          <w:p>
            <w:pPr>
              <w:pStyle w:val="Normal"/>
              <w:spacing w:before="40" w:after="0"/>
              <w:rPr/>
            </w:pPr>
            <w:r>
              <w:rPr/>
            </w:r>
          </w:p>
        </w:tc>
      </w:tr>
      <w:tr>
        <w:trPr>
          <w:cantSplit w:val="true"/>
        </w:trPr>
        <w:tc>
          <w:tcPr>
            <w:tcW w:w="4852" w:type="dxa"/>
            <w:tcBorders/>
          </w:tcPr>
          <w:p>
            <w:pPr>
              <w:pStyle w:val="Normal"/>
              <w:spacing w:before="40" w:after="0"/>
              <w:rPr/>
            </w:pPr>
            <w:r>
              <w:rPr>
                <w:color w:val="667085"/>
                <w:sz w:val="14"/>
                <w:szCs w:val="14"/>
              </w:rPr>
              <w:t>Steuerberater / Tax Advisor</w:t>
            </w:r>
          </w:p>
        </w:tc>
        <w:tc>
          <w:tcPr>
            <w:tcW w:w="501" w:type="dxa"/>
            <w:tcBorders/>
          </w:tcPr>
          <w:p>
            <w:pPr>
              <w:pStyle w:val="Normal"/>
              <w:spacing w:before="40" w:after="0"/>
              <w:rPr/>
            </w:pPr>
            <w:r>
              <w:rPr/>
            </w:r>
          </w:p>
        </w:tc>
        <w:tc>
          <w:tcPr>
            <w:tcW w:w="4853" w:type="dxa"/>
            <w:tcBorders/>
          </w:tcPr>
          <w:p>
            <w:pPr>
              <w:pStyle w:val="Normal"/>
              <w:spacing w:before="40" w:after="0"/>
              <w:rPr/>
            </w:pPr>
            <w:r>
              <w:rPr>
                <w:color w:val="667085"/>
                <w:sz w:val="14"/>
                <w:szCs w:val="14"/>
              </w:rPr>
              <w:t>Mandant / Client (Unterschrift, ggf. Firmenstempel / signature, company stamp if any)</w:t>
            </w:r>
          </w:p>
        </w:tc>
      </w:tr>
    </w:tbl>
    <w:p>
      <w:pPr>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850" w:right="850" w:gutter="0" w:header="450" w:top="1100" w:footer="400" w:bottom="900"/>
          <w:pgNumType w:fmt="decimal"/>
          <w:formProt w:val="false"/>
          <w:textDirection w:val="lrTb"/>
          <w:docGrid w:type="default" w:linePitch="360" w:charSpace="8192"/>
        </w:sectPr>
      </w:pPr>
    </w:p>
    <w:p>
      <w:pPr>
        <w:spacing w:before="120" w:after="80"/>
      </w:pPr>
      <w:r>
        <w:rPr>
          <w:rFonts w:ascii="Inter" w:hAnsi="Inter" w:cs="Inter"/>
          <w:b/>
          <w:color w:val="1F4B47"/>
          <w:spacing w:val="10"/>
          <w:sz w:val="15"/>
        </w:rPr>
        <w:t xml:space="preserve">ANLAGE 1 ZUM STEUERBERATUNGSVERTRAG   /   </w:t>
      </w:r>
      <w:r>
        <w:rPr>
          <w:rFonts w:ascii="Inter" w:hAnsi="Inter" w:cs="Inter"/>
          <w:b/>
          <w:i/>
          <w:color w:val="1F4B47"/>
          <w:spacing w:val="10"/>
          <w:sz w:val="15"/>
        </w:rPr>
        <w:t>ANNEX 1 TO THE TAX ADVISORY AGREEMENT</w:t>
      </w:r>
    </w:p>
    <w:p>
      <w:pPr>
        <w:spacing w:before="60"/>
      </w:pPr>
      <w:r>
        <w:rPr>
          <w:rFonts w:ascii="Inter" w:cs="Inter" w:eastAsia="Inter" w:hAnsi="Inter"/>
          <w:b/>
          <w:bCs/>
          <w:color w:val="123330"/>
          <w:sz w:val="32"/>
          <w:szCs w:val="32"/>
        </w:rPr>
        <w:t xml:space="preserve">Allgemeine Geschäftsbedingungen</w:t>
      </w:r>
    </w:p>
    <w:p>
      <w:r>
        <w:rPr>
          <w:rFonts w:ascii="Inter" w:cs="Inter" w:eastAsia="Inter" w:hAnsi="Inter"/>
          <w:b/>
          <w:bCs/>
          <w:i/>
          <w:iCs/>
          <w:color w:val="1F4B47"/>
          <w:sz w:val="26"/>
          <w:szCs w:val="26"/>
        </w:rPr>
        <w:t xml:space="preserve">General Terms and Conditions</w:t>
      </w:r>
    </w:p>
    <w:p>
      <w:pPr>
        <w:spacing w:before="40"/>
      </w:pPr>
      <w:r>
        <w:rPr>
          <w:rFonts w:ascii="Inter" w:cs="Inter" w:eastAsia="Inter" w:hAnsi="Inter"/>
          <w:i/>
          <w:iCs/>
          <w:color w:val="667085"/>
          <w:sz w:val="16"/>
          <w:szCs w:val="16"/>
        </w:rPr>
        <w:t xml:space="preserve">für Steuerberater und steuerberatende Berufsausübungsgesellschaften</w:t>
      </w:r>
    </w:p>
    <w:p>
      <w:r>
        <w:rPr>
          <w:rFonts w:ascii="Inter" w:cs="Inter" w:eastAsia="Inter" w:hAnsi="Inter"/>
          <w:i/>
          <w:iCs/>
          <w:color w:val="667085"/>
          <w:sz w:val="16"/>
          <w:szCs w:val="16"/>
        </w:rPr>
        <w:t xml:space="preserve">for tax advisors and tax advisory professional practice companies</w:t>
      </w:r>
    </w:p>
    <w:p>
      <w:pPr>
        <w:spacing w:after="60" w:before="40"/>
      </w:pPr>
      <w:r>
        <w:rPr>
          <w:rFonts w:ascii="Inter" w:cs="Inter" w:eastAsia="Inter" w:hAnsi="Inter"/>
          <w:i/>
          <w:iCs/>
          <w:color w:val="667085"/>
          <w:sz w:val="16"/>
          <w:szCs w:val="16"/>
        </w:rPr>
        <w:t xml:space="preserve">Suat Göydeniz &amp; Grit Birka eGbR  ·  Stand / As of: Januar 2025 / January 2025</w:t>
      </w:r>
    </w:p>
    <w:p>
      <w:pPr>
        <w:spacing w:after="160"/>
      </w:pPr>
      <w:r>
        <w:rPr>
          <w:rFonts w:ascii="Inter" w:cs="Inter" w:eastAsia="Inter" w:hAnsi="Inter"/>
          <w:color w:val="667085"/>
          <w:sz w:val="15"/>
          <w:szCs w:val="15"/>
        </w:rPr>
        <w:t xml:space="preserve">Maßgeblich ist die deutsche Fassung. The German version is legally binding; the English translation is provided for convenience only.</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5103"/>
        <w:gridCol w:w="5103"/>
      </w:tblGrid>
      <w:tr>
        <w:trPr>
          <w:cantSplit/>
        </w:trPr>
        <w:tc>
          <w:tcPr>
            <w:tcW w:type="dxa" w:w="5103"/>
            <w:tcBorders>
              <w:top w:val="single" w:color="D9E2E2" w:sz="4"/>
              <w:left w:val="single" w:color="D9E2E2" w:sz="4"/>
              <w:bottom w:val="single" w:color="D9E2E2" w:sz="4"/>
              <w:right w:val="single" w:color="D9E2E2" w:sz="4"/>
            </w:tcBorders>
            <w:tcMar>
              <w:top w:type="dxa" w:w="120"/>
              <w:left w:type="dxa" w:w="170"/>
              <w:bottom w:type="dxa" w:w="110"/>
              <w:right w:type="dxa" w:w="170"/>
            </w:tcMar>
          </w:tcPr>
          <w:p>
            <w:pPr>
              <w:spacing w:after="60" w:line="264"/>
            </w:pPr>
            <w:r>
              <w:rPr>
                <w:rFonts w:ascii="Inter" w:cs="Inter" w:eastAsia="Inter" w:hAnsi="Inter"/>
                <w:color w:val="222222"/>
                <w:sz w:val="17"/>
                <w:szCs w:val="17"/>
              </w:rPr>
              <w:t xml:space="preserve">Die folgenden „Allgemeinen Geschäftsbedingungen“ gelten für Verträge zwischen Steuerberatern und steuerberatenden Berufsausübungsgesellschaften (im Folgenden „Steuerberater“ genannt) und ihren Auftraggebern, soweit nicht etwas anderes ausdrücklich in Textform vereinbart oder gesetzlich zwingend vorgeschrieben ist.</w:t>
            </w:r>
          </w:p>
        </w:tc>
        <w:tc>
          <w:tcPr>
            <w:tcW w:type="dxa" w:w="5103"/>
            <w:tcBorders>
              <w:top w:val="single" w:color="D9E2E2" w:sz="4"/>
              <w:left w:val="single" w:color="D9E2E2" w:sz="4"/>
              <w:bottom w:val="single" w:color="D9E2E2" w:sz="4"/>
              <w:right w:val="single" w:color="D9E2E2" w:sz="4"/>
            </w:tcBorders>
            <w:tcMar>
              <w:top w:type="dxa" w:w="120"/>
              <w:left w:type="dxa" w:w="170"/>
              <w:bottom w:type="dxa" w:w="110"/>
              <w:right w:type="dxa" w:w="170"/>
            </w:tcMar>
          </w:tcPr>
          <w:p>
            <w:pPr>
              <w:spacing w:after="60" w:line="264"/>
            </w:pPr>
            <w:r>
              <w:rPr>
                <w:rFonts w:ascii="Inter" w:cs="Inter" w:eastAsia="Inter" w:hAnsi="Inter"/>
                <w:color w:val="222222"/>
                <w:sz w:val="17"/>
                <w:szCs w:val="17"/>
              </w:rPr>
              <w:t xml:space="preserve">The following “General Terms and Conditions” apply to contracts between tax advisors and tax advisory professional practice companies (hereinafter referred to as the “Tax Advisor”) and their clients (hereinafter the “Client”), unless otherwise expressly agreed in text form or mandatorily prescribed by law.</w:t>
            </w:r>
          </w:p>
        </w:tc>
      </w:tr>
      <w:tr>
        <w:trPr>
          <w:cantSplit/>
        </w:trPr>
        <w:tc>
          <w:tcPr>
            <w:tcW w:type="dxa" w:w="5103"/>
            <w:tcBorders>
              <w:top w:val="single" w:color="D9E2E2" w:sz="4"/>
              <w:left w:val="single" w:color="D9E2E2" w:sz="4"/>
              <w:bottom w:val="none" w:color="FFFFFF" w:sz="0"/>
              <w:right w:val="single" w:color="D9E2E2" w:sz="4"/>
            </w:tcBorders>
            <w:tcMar>
              <w:top w:type="dxa" w:w="120"/>
              <w:left w:type="dxa" w:w="170"/>
              <w:bottom w:type="dxa" w:w="0"/>
              <w:right w:type="dxa" w:w="170"/>
            </w:tcMar>
          </w:tcPr>
          <w:p>
            <w:pPr>
              <w:spacing w:after="80"/>
            </w:pPr>
            <w:r>
              <w:rPr>
                <w:rFonts w:ascii="Inter" w:cs="Inter" w:eastAsia="Inter" w:hAnsi="Inter"/>
                <w:b/>
                <w:bCs/>
                <w:color w:val="1F4B47"/>
                <w:sz w:val="19"/>
                <w:szCs w:val="19"/>
              </w:rPr>
              <w:t xml:space="preserve">1  </w:t>
            </w:r>
            <w:r>
              <w:rPr>
                <w:rFonts w:ascii="Inter" w:cs="Inter" w:eastAsia="Inter" w:hAnsi="Inter"/>
                <w:b/>
                <w:bCs/>
                <w:color w:val="123330"/>
                <w:sz w:val="19"/>
                <w:szCs w:val="19"/>
              </w:rPr>
              <w:t xml:space="preserve">Umfang und Ausführung des Auftrags</w:t>
            </w:r>
          </w:p>
          <w:p>
            <w:pPr>
              <w:tabs>
                <w:tab w:val="left" w:pos="380"/>
              </w:tabs>
              <w:spacing w:after="60" w:line="264"/>
              <w:ind w:left="380" w:hanging="380"/>
            </w:pPr>
            <w:r>
              <w:rPr>
                <w:rFonts w:ascii="Inter" w:cs="Inter" w:eastAsia="Inter" w:hAnsi="Inter"/>
                <w:b/>
                <w:bCs/>
                <w:color w:val="1F4B47"/>
                <w:sz w:val="17"/>
                <w:szCs w:val="17"/>
              </w:rPr>
              <w:t xml:space="preserve">(1)</w:t>
            </w:r>
            <w:r>
              <w:rPr>
                <w:rFonts w:ascii="Inter" w:cs="Inter" w:eastAsia="Inter" w:hAnsi="Inter"/>
                <w:color w:val="222222"/>
                <w:sz w:val="17"/>
                <w:szCs w:val="17"/>
              </w:rPr>
              <w:t xml:space="preserve">	Für den Umfang der vom Steuerberater zu erbringenden Leistungen ist der erteilte Auftrag maßgebend. Der Auftrag wird nach den Grundsätzen ordnungsgemäßer Berufsausübung unter Beachtung der einschlägigen berufsrechtlichen Normen und der Berufspflichten (vgl. StBerG, BOStB) ausgeführt.</w:t>
            </w:r>
          </w:p>
        </w:tc>
        <w:tc>
          <w:tcPr>
            <w:tcW w:type="dxa" w:w="5103"/>
            <w:tcBorders>
              <w:top w:val="single" w:color="D9E2E2" w:sz="4"/>
              <w:left w:val="single" w:color="D9E2E2" w:sz="4"/>
              <w:bottom w:val="none" w:color="FFFFFF" w:sz="0"/>
              <w:right w:val="single" w:color="D9E2E2" w:sz="4"/>
            </w:tcBorders>
            <w:tcMar>
              <w:top w:type="dxa" w:w="120"/>
              <w:left w:type="dxa" w:w="170"/>
              <w:bottom w:type="dxa" w:w="0"/>
              <w:right w:type="dxa" w:w="170"/>
            </w:tcMar>
          </w:tcPr>
          <w:p>
            <w:pPr>
              <w:spacing w:after="80"/>
            </w:pPr>
            <w:r>
              <w:rPr>
                <w:rFonts w:ascii="Inter" w:cs="Inter" w:eastAsia="Inter" w:hAnsi="Inter"/>
                <w:b/>
                <w:bCs/>
                <w:color w:val="1F4B47"/>
                <w:sz w:val="19"/>
                <w:szCs w:val="19"/>
              </w:rPr>
              <w:t xml:space="preserve">1  </w:t>
            </w:r>
            <w:r>
              <w:rPr>
                <w:rFonts w:ascii="Inter" w:cs="Inter" w:eastAsia="Inter" w:hAnsi="Inter"/>
                <w:b/>
                <w:bCs/>
                <w:color w:val="123330"/>
                <w:sz w:val="19"/>
                <w:szCs w:val="19"/>
              </w:rPr>
              <w:t xml:space="preserve">Scope and Performance of the Engagement</w:t>
            </w:r>
          </w:p>
          <w:p>
            <w:pPr>
              <w:tabs>
                <w:tab w:val="left" w:pos="380"/>
              </w:tabs>
              <w:spacing w:after="60" w:line="264"/>
              <w:ind w:left="380" w:hanging="380"/>
            </w:pPr>
            <w:r>
              <w:rPr>
                <w:rFonts w:ascii="Inter" w:cs="Inter" w:eastAsia="Inter" w:hAnsi="Inter"/>
                <w:b/>
                <w:bCs/>
                <w:color w:val="1F4B47"/>
                <w:sz w:val="17"/>
                <w:szCs w:val="17"/>
              </w:rPr>
              <w:t xml:space="preserve">(1)</w:t>
            </w:r>
            <w:r>
              <w:rPr>
                <w:rFonts w:ascii="Inter" w:cs="Inter" w:eastAsia="Inter" w:hAnsi="Inter"/>
                <w:color w:val="222222"/>
                <w:sz w:val="17"/>
                <w:szCs w:val="17"/>
              </w:rPr>
              <w:t xml:space="preserve">	The scope of the services to be provided by the Tax Advisor is determined by the engagement issued. The engagement is performed in accordance with the principles of proper professional practice, observing the relevant professional regulations and professional duties (cf. StBerG, BOStB).</w:t>
            </w:r>
          </w:p>
        </w:tc>
      </w:tr>
      <w:tr>
        <w:trPr>
          <w:cantSplit/>
        </w:trPr>
        <w:tc>
          <w:tcPr>
            <w:tcW w:type="dxa" w:w="5103"/>
            <w:tcBorders>
              <w:top w:val="none" w:color="FFFFFF" w:sz="0"/>
              <w:left w:val="single" w:color="D9E2E2" w:sz="4"/>
              <w:bottom w:val="none" w:color="FFFFFF" w:sz="0"/>
              <w:right w:val="single" w:color="D9E2E2" w:sz="4"/>
            </w:tcBorders>
            <w:tcMar>
              <w:top w:type="dxa" w:w="0"/>
              <w:left w:type="dxa" w:w="170"/>
              <w:bottom w:type="dxa" w:w="0"/>
              <w:right w:type="dxa" w:w="170"/>
            </w:tcMar>
          </w:tcPr>
          <w:p>
            <w:pPr>
              <w:tabs>
                <w:tab w:val="left" w:pos="380"/>
              </w:tabs>
              <w:spacing w:after="60" w:line="264"/>
              <w:ind w:left="380" w:hanging="380"/>
            </w:pPr>
            <w:r>
              <w:rPr>
                <w:rFonts w:ascii="Inter" w:cs="Inter" w:eastAsia="Inter" w:hAnsi="Inter"/>
                <w:b/>
                <w:bCs/>
                <w:color w:val="1F4B47"/>
                <w:sz w:val="17"/>
                <w:szCs w:val="17"/>
              </w:rPr>
              <w:t xml:space="preserve">(2)</w:t>
            </w:r>
            <w:r>
              <w:rPr>
                <w:rFonts w:ascii="Inter" w:cs="Inter" w:eastAsia="Inter" w:hAnsi="Inter"/>
                <w:color w:val="222222"/>
                <w:sz w:val="17"/>
                <w:szCs w:val="17"/>
              </w:rPr>
              <w:t xml:space="preserve">	Die Berücksichtigung ausländischen Rechts bedarf einer ausdrücklichen Vereinbarung in Textform.</w:t>
            </w:r>
          </w:p>
        </w:tc>
        <w:tc>
          <w:tcPr>
            <w:tcW w:type="dxa" w:w="5103"/>
            <w:tcBorders>
              <w:top w:val="none" w:color="FFFFFF" w:sz="0"/>
              <w:left w:val="single" w:color="D9E2E2" w:sz="4"/>
              <w:bottom w:val="none" w:color="FFFFFF" w:sz="0"/>
              <w:right w:val="single" w:color="D9E2E2" w:sz="4"/>
            </w:tcBorders>
            <w:tcMar>
              <w:top w:type="dxa" w:w="0"/>
              <w:left w:type="dxa" w:w="170"/>
              <w:bottom w:type="dxa" w:w="0"/>
              <w:right w:type="dxa" w:w="170"/>
            </w:tcMar>
          </w:tcPr>
          <w:p>
            <w:pPr>
              <w:tabs>
                <w:tab w:val="left" w:pos="380"/>
              </w:tabs>
              <w:spacing w:after="60" w:line="264"/>
              <w:ind w:left="380" w:hanging="380"/>
            </w:pPr>
            <w:r>
              <w:rPr>
                <w:rFonts w:ascii="Inter" w:cs="Inter" w:eastAsia="Inter" w:hAnsi="Inter"/>
                <w:b/>
                <w:bCs/>
                <w:color w:val="1F4B47"/>
                <w:sz w:val="17"/>
                <w:szCs w:val="17"/>
              </w:rPr>
              <w:t xml:space="preserve">(2)</w:t>
            </w:r>
            <w:r>
              <w:rPr>
                <w:rFonts w:ascii="Inter" w:cs="Inter" w:eastAsia="Inter" w:hAnsi="Inter"/>
                <w:color w:val="222222"/>
                <w:sz w:val="17"/>
                <w:szCs w:val="17"/>
              </w:rPr>
              <w:t xml:space="preserve">	Consideration of foreign law requires an express agreement in text form.</w:t>
            </w:r>
          </w:p>
        </w:tc>
      </w:tr>
      <w:tr>
        <w:trPr>
          <w:cantSplit/>
        </w:trPr>
        <w:tc>
          <w:tcPr>
            <w:tcW w:type="dxa" w:w="5103"/>
            <w:tcBorders>
              <w:top w:val="none" w:color="FFFFFF" w:sz="0"/>
              <w:left w:val="single" w:color="D9E2E2" w:sz="4"/>
              <w:bottom w:val="none" w:color="FFFFFF" w:sz="0"/>
              <w:right w:val="single" w:color="D9E2E2" w:sz="4"/>
            </w:tcBorders>
            <w:tcMar>
              <w:top w:type="dxa" w:w="0"/>
              <w:left w:type="dxa" w:w="170"/>
              <w:bottom w:type="dxa" w:w="0"/>
              <w:right w:type="dxa" w:w="170"/>
            </w:tcMar>
          </w:tcPr>
          <w:p>
            <w:pPr>
              <w:tabs>
                <w:tab w:val="left" w:pos="380"/>
              </w:tabs>
              <w:spacing w:after="60" w:line="264"/>
              <w:ind w:left="380" w:hanging="380"/>
            </w:pPr>
            <w:r>
              <w:rPr>
                <w:rFonts w:ascii="Inter" w:cs="Inter" w:eastAsia="Inter" w:hAnsi="Inter"/>
                <w:b/>
                <w:bCs/>
                <w:color w:val="1F4B47"/>
                <w:sz w:val="17"/>
                <w:szCs w:val="17"/>
              </w:rPr>
              <w:t xml:space="preserve">(3)</w:t>
            </w:r>
            <w:r>
              <w:rPr>
                <w:rFonts w:ascii="Inter" w:cs="Inter" w:eastAsia="Inter" w:hAnsi="Inter"/>
                <w:color w:val="222222"/>
                <w:sz w:val="17"/>
                <w:szCs w:val="17"/>
              </w:rPr>
              <w:t xml:space="preserve">	Ändert sich die Rechtslage nach abschließender Erledigung einer Angelegenheit, so ist der Steuerberater nicht verpflichtet, den Auftraggeber auf die Änderung oder die sich daraus ergebenden Folgen hinzuweisen. Etwas anderes gilt nur, wenn dies ausdrücklich in Textform vereinbart wird.</w:t>
            </w:r>
          </w:p>
        </w:tc>
        <w:tc>
          <w:tcPr>
            <w:tcW w:type="dxa" w:w="5103"/>
            <w:tcBorders>
              <w:top w:val="none" w:color="FFFFFF" w:sz="0"/>
              <w:left w:val="single" w:color="D9E2E2" w:sz="4"/>
              <w:bottom w:val="none" w:color="FFFFFF" w:sz="0"/>
              <w:right w:val="single" w:color="D9E2E2" w:sz="4"/>
            </w:tcBorders>
            <w:tcMar>
              <w:top w:type="dxa" w:w="0"/>
              <w:left w:type="dxa" w:w="170"/>
              <w:bottom w:type="dxa" w:w="0"/>
              <w:right w:type="dxa" w:w="170"/>
            </w:tcMar>
          </w:tcPr>
          <w:p>
            <w:pPr>
              <w:tabs>
                <w:tab w:val="left" w:pos="380"/>
              </w:tabs>
              <w:spacing w:after="60" w:line="264"/>
              <w:ind w:left="380" w:hanging="380"/>
            </w:pPr>
            <w:r>
              <w:rPr>
                <w:rFonts w:ascii="Inter" w:cs="Inter" w:eastAsia="Inter" w:hAnsi="Inter"/>
                <w:b/>
                <w:bCs/>
                <w:color w:val="1F4B47"/>
                <w:sz w:val="17"/>
                <w:szCs w:val="17"/>
              </w:rPr>
              <w:t xml:space="preserve">(3)</w:t>
            </w:r>
            <w:r>
              <w:rPr>
                <w:rFonts w:ascii="Inter" w:cs="Inter" w:eastAsia="Inter" w:hAnsi="Inter"/>
                <w:color w:val="222222"/>
                <w:sz w:val="17"/>
                <w:szCs w:val="17"/>
              </w:rPr>
              <w:t xml:space="preserve">	If the legal situation changes after a matter has been finally completed, the Tax Advisor is not obliged to inform the Client of the change or of the consequences arising from it. This applies only if not expressly agreed otherwise in text form.</w:t>
            </w:r>
          </w:p>
        </w:tc>
      </w:tr>
      <w:tr>
        <w:trPr>
          <w:cantSplit/>
        </w:trPr>
        <w:tc>
          <w:tcPr>
            <w:tcW w:type="dxa" w:w="5103"/>
            <w:tcBorders>
              <w:top w:val="none" w:color="FFFFFF" w:sz="0"/>
              <w:left w:val="single" w:color="D9E2E2" w:sz="4"/>
              <w:bottom w:val="none" w:color="FFFFFF" w:sz="0"/>
              <w:right w:val="single" w:color="D9E2E2" w:sz="4"/>
            </w:tcBorders>
            <w:tcMar>
              <w:top w:type="dxa" w:w="0"/>
              <w:left w:type="dxa" w:w="170"/>
              <w:bottom w:type="dxa" w:w="0"/>
              <w:right w:type="dxa" w:w="170"/>
            </w:tcMar>
          </w:tcPr>
          <w:p>
            <w:pPr>
              <w:tabs>
                <w:tab w:val="left" w:pos="380"/>
              </w:tabs>
              <w:spacing w:after="60" w:line="264"/>
              <w:ind w:left="380" w:hanging="380"/>
            </w:pPr>
            <w:r>
              <w:rPr>
                <w:rFonts w:ascii="Inter" w:cs="Inter" w:eastAsia="Inter" w:hAnsi="Inter"/>
                <w:b/>
                <w:bCs/>
                <w:color w:val="1F4B47"/>
                <w:sz w:val="17"/>
                <w:szCs w:val="17"/>
              </w:rPr>
              <w:t xml:space="preserve">(4)</w:t>
            </w:r>
            <w:r>
              <w:rPr>
                <w:rFonts w:ascii="Inter" w:cs="Inter" w:eastAsia="Inter" w:hAnsi="Inter"/>
                <w:color w:val="222222"/>
                <w:sz w:val="17"/>
                <w:szCs w:val="17"/>
              </w:rPr>
              <w:t xml:space="preserve">	Die Prüfung der Richtigkeit, Vollständigkeit und Ordnungsmäßigkeit der dem Steuerberater übergebenen Unterlagen und Zahlen, insbesondere der Buchführung und Bilanz, gehört nur zum Auftrag, wenn dies in Textform vereinbart ist. Der Steuerberater wird die vom Auftraggeber gemachten Angaben, insbesondere Zahlenangaben, als richtig zu Grunde legen. Soweit er offensichtliche Unrichtigkeiten feststellt, wird er den Auftraggeber darauf hinweisen.</w:t>
            </w:r>
          </w:p>
        </w:tc>
        <w:tc>
          <w:tcPr>
            <w:tcW w:type="dxa" w:w="5103"/>
            <w:tcBorders>
              <w:top w:val="none" w:color="FFFFFF" w:sz="0"/>
              <w:left w:val="single" w:color="D9E2E2" w:sz="4"/>
              <w:bottom w:val="none" w:color="FFFFFF" w:sz="0"/>
              <w:right w:val="single" w:color="D9E2E2" w:sz="4"/>
            </w:tcBorders>
            <w:tcMar>
              <w:top w:type="dxa" w:w="0"/>
              <w:left w:type="dxa" w:w="170"/>
              <w:bottom w:type="dxa" w:w="0"/>
              <w:right w:type="dxa" w:w="170"/>
            </w:tcMar>
          </w:tcPr>
          <w:p>
            <w:pPr>
              <w:tabs>
                <w:tab w:val="left" w:pos="380"/>
              </w:tabs>
              <w:spacing w:after="60" w:line="264"/>
              <w:ind w:left="380" w:hanging="380"/>
            </w:pPr>
            <w:r>
              <w:rPr>
                <w:rFonts w:ascii="Inter" w:cs="Inter" w:eastAsia="Inter" w:hAnsi="Inter"/>
                <w:b/>
                <w:bCs/>
                <w:color w:val="1F4B47"/>
                <w:sz w:val="17"/>
                <w:szCs w:val="17"/>
              </w:rPr>
              <w:t xml:space="preserve">(4)</w:t>
            </w:r>
            <w:r>
              <w:rPr>
                <w:rFonts w:ascii="Inter" w:cs="Inter" w:eastAsia="Inter" w:hAnsi="Inter"/>
                <w:color w:val="222222"/>
                <w:sz w:val="17"/>
                <w:szCs w:val="17"/>
              </w:rPr>
              <w:t xml:space="preserve">	Examining the accuracy, completeness and propriety of the documents and figures handed over to the Tax Advisor, in particular the bookkeeping and balance sheet, forms part of the engagement only if agreed in text form. The Tax Advisor will assume the information provided by the Client, in particular figures, to be correct. Where the Tax Advisor identifies obvious inaccuracies, the Tax Advisor will point them out to the Client.</w:t>
            </w:r>
          </w:p>
        </w:tc>
      </w:tr>
      <w:tr>
        <w:trPr>
          <w:cantSplit/>
        </w:trPr>
        <w:tc>
          <w:tcPr>
            <w:tcW w:type="dxa" w:w="5103"/>
            <w:tcBorders>
              <w:top w:val="none" w:color="FFFFFF" w:sz="0"/>
              <w:left w:val="single" w:color="D9E2E2" w:sz="4"/>
              <w:bottom w:val="single" w:color="D9E2E2" w:sz="4"/>
              <w:right w:val="single" w:color="D9E2E2" w:sz="4"/>
            </w:tcBorders>
            <w:tcMar>
              <w:top w:type="dxa" w:w="0"/>
              <w:left w:type="dxa" w:w="170"/>
              <w:bottom w:type="dxa" w:w="110"/>
              <w:right w:type="dxa" w:w="170"/>
            </w:tcMar>
          </w:tcPr>
          <w:p>
            <w:pPr>
              <w:tabs>
                <w:tab w:val="left" w:pos="380"/>
              </w:tabs>
              <w:spacing w:after="60" w:line="264"/>
              <w:ind w:left="380" w:hanging="380"/>
            </w:pPr>
            <w:r>
              <w:rPr>
                <w:rFonts w:ascii="Inter" w:cs="Inter" w:eastAsia="Inter" w:hAnsi="Inter"/>
                <w:b/>
                <w:bCs/>
                <w:color w:val="1F4B47"/>
                <w:sz w:val="17"/>
                <w:szCs w:val="17"/>
              </w:rPr>
              <w:t xml:space="preserve">(5)</w:t>
            </w:r>
            <w:r>
              <w:rPr>
                <w:rFonts w:ascii="Inter" w:cs="Inter" w:eastAsia="Inter" w:hAnsi="Inter"/>
                <w:color w:val="222222"/>
                <w:sz w:val="17"/>
                <w:szCs w:val="17"/>
              </w:rPr>
              <w:t xml:space="preserve">	Der Auftrag stellt keine Vollmacht für die Vertretung vor Behörden, Gerichten oder sonstigen Stellen dar. Diese ist gesondert zu erteilen. Ist wegen der Abwesenheit des Auftraggebers eine Abstimmung mit diesem über die Einlegung von Rechtsbehelfen oder Rechtsmitteln nicht möglich, ist der Steuerberater im Zweifel zu fristwahrenden Handlungen berechtigt.</w:t>
            </w:r>
          </w:p>
        </w:tc>
        <w:tc>
          <w:tcPr>
            <w:tcW w:type="dxa" w:w="5103"/>
            <w:tcBorders>
              <w:top w:val="none" w:color="FFFFFF" w:sz="0"/>
              <w:left w:val="single" w:color="D9E2E2" w:sz="4"/>
              <w:bottom w:val="single" w:color="D9E2E2" w:sz="4"/>
              <w:right w:val="single" w:color="D9E2E2" w:sz="4"/>
            </w:tcBorders>
            <w:tcMar>
              <w:top w:type="dxa" w:w="0"/>
              <w:left w:type="dxa" w:w="170"/>
              <w:bottom w:type="dxa" w:w="110"/>
              <w:right w:type="dxa" w:w="170"/>
            </w:tcMar>
          </w:tcPr>
          <w:p>
            <w:pPr>
              <w:tabs>
                <w:tab w:val="left" w:pos="380"/>
              </w:tabs>
              <w:spacing w:after="60" w:line="264"/>
              <w:ind w:left="380" w:hanging="380"/>
            </w:pPr>
            <w:r>
              <w:rPr>
                <w:rFonts w:ascii="Inter" w:cs="Inter" w:eastAsia="Inter" w:hAnsi="Inter"/>
                <w:b/>
                <w:bCs/>
                <w:color w:val="1F4B47"/>
                <w:sz w:val="17"/>
                <w:szCs w:val="17"/>
              </w:rPr>
              <w:t xml:space="preserve">(5)</w:t>
            </w:r>
            <w:r>
              <w:rPr>
                <w:rFonts w:ascii="Inter" w:cs="Inter" w:eastAsia="Inter" w:hAnsi="Inter"/>
                <w:color w:val="222222"/>
                <w:sz w:val="17"/>
                <w:szCs w:val="17"/>
              </w:rPr>
              <w:t xml:space="preserve">	The engagement does not constitute a power of attorney for representation before authorities, courts or other bodies. Such power of attorney must be granted separately. If, due to the Client’s absence, it is not possible to consult with the Client about filing legal remedies or appeals, the Tax Advisor is, in case of doubt, entitled to take action to preserve deadlines.</w:t>
            </w:r>
          </w:p>
        </w:tc>
      </w:tr>
      <w:tr>
        <w:trPr>
          <w:cantSplit/>
        </w:trPr>
        <w:tc>
          <w:tcPr>
            <w:tcW w:type="dxa" w:w="5103"/>
            <w:tcBorders>
              <w:top w:val="single" w:color="D9E2E2" w:sz="4"/>
              <w:left w:val="single" w:color="D9E2E2" w:sz="4"/>
              <w:bottom w:val="none" w:color="FFFFFF" w:sz="0"/>
              <w:right w:val="single" w:color="D9E2E2" w:sz="4"/>
            </w:tcBorders>
            <w:tcMar>
              <w:top w:type="dxa" w:w="120"/>
              <w:left w:type="dxa" w:w="170"/>
              <w:bottom w:type="dxa" w:w="0"/>
              <w:right w:type="dxa" w:w="170"/>
            </w:tcMar>
          </w:tcPr>
          <w:p>
            <w:pPr>
              <w:spacing w:after="80"/>
            </w:pPr>
            <w:r>
              <w:rPr>
                <w:rFonts w:ascii="Inter" w:cs="Inter" w:eastAsia="Inter" w:hAnsi="Inter"/>
                <w:b/>
                <w:bCs/>
                <w:color w:val="1F4B47"/>
                <w:sz w:val="19"/>
                <w:szCs w:val="19"/>
              </w:rPr>
              <w:t xml:space="preserve">2  </w:t>
            </w:r>
            <w:r>
              <w:rPr>
                <w:rFonts w:ascii="Inter" w:cs="Inter" w:eastAsia="Inter" w:hAnsi="Inter"/>
                <w:b/>
                <w:bCs/>
                <w:color w:val="123330"/>
                <w:sz w:val="19"/>
                <w:szCs w:val="19"/>
              </w:rPr>
              <w:t xml:space="preserve">Verschwiegenheitspflicht</w:t>
            </w:r>
          </w:p>
          <w:p>
            <w:pPr>
              <w:tabs>
                <w:tab w:val="left" w:pos="380"/>
              </w:tabs>
              <w:spacing w:after="60" w:line="264"/>
              <w:ind w:left="380" w:hanging="380"/>
            </w:pPr>
            <w:r>
              <w:rPr>
                <w:rFonts w:ascii="Inter" w:cs="Inter" w:eastAsia="Inter" w:hAnsi="Inter"/>
                <w:b/>
                <w:bCs/>
                <w:color w:val="1F4B47"/>
                <w:sz w:val="17"/>
                <w:szCs w:val="17"/>
              </w:rPr>
              <w:t xml:space="preserve">(1)</w:t>
            </w:r>
            <w:r>
              <w:rPr>
                <w:rFonts w:ascii="Inter" w:cs="Inter" w:eastAsia="Inter" w:hAnsi="Inter"/>
                <w:color w:val="222222"/>
                <w:sz w:val="17"/>
                <w:szCs w:val="17"/>
              </w:rPr>
              <w:t xml:space="preserve">	Der Steuerberater ist nach Maßgabe der Gesetze verpflichtet, über alle Tatsachen, die ihm im Zusammenhang mit der Ausführung des Auftrags zur Kenntnis gelangen, Stillschweigen zu bewahren, es sei denn, der Auftraggeber entbindet ihn von dieser Verpflichtung. Die Verschwiegenheitspflicht besteht auch nach Beendigung des Auftragsverhältnisses fort. Die Verschwiegenheitspflicht besteht im gleichen Umfang auch für die Mitarbeiter des Steuerberaters.</w:t>
            </w:r>
          </w:p>
        </w:tc>
        <w:tc>
          <w:tcPr>
            <w:tcW w:type="dxa" w:w="5103"/>
            <w:tcBorders>
              <w:top w:val="single" w:color="D9E2E2" w:sz="4"/>
              <w:left w:val="single" w:color="D9E2E2" w:sz="4"/>
              <w:bottom w:val="none" w:color="FFFFFF" w:sz="0"/>
              <w:right w:val="single" w:color="D9E2E2" w:sz="4"/>
            </w:tcBorders>
            <w:tcMar>
              <w:top w:type="dxa" w:w="120"/>
              <w:left w:type="dxa" w:w="170"/>
              <w:bottom w:type="dxa" w:w="0"/>
              <w:right w:type="dxa" w:w="170"/>
            </w:tcMar>
          </w:tcPr>
          <w:p>
            <w:pPr>
              <w:spacing w:after="80"/>
            </w:pPr>
            <w:r>
              <w:rPr>
                <w:rFonts w:ascii="Inter" w:cs="Inter" w:eastAsia="Inter" w:hAnsi="Inter"/>
                <w:b/>
                <w:bCs/>
                <w:color w:val="1F4B47"/>
                <w:sz w:val="19"/>
                <w:szCs w:val="19"/>
              </w:rPr>
              <w:t xml:space="preserve">2  </w:t>
            </w:r>
            <w:r>
              <w:rPr>
                <w:rFonts w:ascii="Inter" w:cs="Inter" w:eastAsia="Inter" w:hAnsi="Inter"/>
                <w:b/>
                <w:bCs/>
                <w:color w:val="123330"/>
                <w:sz w:val="19"/>
                <w:szCs w:val="19"/>
              </w:rPr>
              <w:t xml:space="preserve">Duty of Confidentiality</w:t>
            </w:r>
          </w:p>
          <w:p>
            <w:pPr>
              <w:tabs>
                <w:tab w:val="left" w:pos="380"/>
              </w:tabs>
              <w:spacing w:after="60" w:line="264"/>
              <w:ind w:left="380" w:hanging="380"/>
            </w:pPr>
            <w:r>
              <w:rPr>
                <w:rFonts w:ascii="Inter" w:cs="Inter" w:eastAsia="Inter" w:hAnsi="Inter"/>
                <w:b/>
                <w:bCs/>
                <w:color w:val="1F4B47"/>
                <w:sz w:val="17"/>
                <w:szCs w:val="17"/>
              </w:rPr>
              <w:t xml:space="preserve">(1)</w:t>
            </w:r>
            <w:r>
              <w:rPr>
                <w:rFonts w:ascii="Inter" w:cs="Inter" w:eastAsia="Inter" w:hAnsi="Inter"/>
                <w:color w:val="222222"/>
                <w:sz w:val="17"/>
                <w:szCs w:val="17"/>
              </w:rPr>
              <w:t xml:space="preserve">	In accordance with the law, the Tax Advisor is obliged to maintain confidentiality regarding all facts that come to the Tax Advisor’s knowledge in connection with the performance of the engagement, unless the Client releases the Tax Advisor from this obligation. The duty of confidentiality continues after the engagement has ended. The duty of confidentiality applies to the same extent to the Tax Advisor’s employees.</w:t>
            </w:r>
          </w:p>
        </w:tc>
      </w:tr>
      <w:tr>
        <w:trPr>
          <w:cantSplit/>
        </w:trPr>
        <w:tc>
          <w:tcPr>
            <w:tcW w:type="dxa" w:w="5103"/>
            <w:tcBorders>
              <w:top w:val="none" w:color="FFFFFF" w:sz="0"/>
              <w:left w:val="single" w:color="D9E2E2" w:sz="4"/>
              <w:bottom w:val="none" w:color="FFFFFF" w:sz="0"/>
              <w:right w:val="single" w:color="D9E2E2" w:sz="4"/>
            </w:tcBorders>
            <w:tcMar>
              <w:top w:type="dxa" w:w="0"/>
              <w:left w:type="dxa" w:w="170"/>
              <w:bottom w:type="dxa" w:w="0"/>
              <w:right w:type="dxa" w:w="170"/>
            </w:tcMar>
          </w:tcPr>
          <w:p>
            <w:pPr>
              <w:tabs>
                <w:tab w:val="left" w:pos="380"/>
              </w:tabs>
              <w:spacing w:after="60" w:line="264"/>
              <w:ind w:left="380" w:hanging="380"/>
            </w:pPr>
            <w:r>
              <w:rPr>
                <w:rFonts w:ascii="Inter" w:cs="Inter" w:eastAsia="Inter" w:hAnsi="Inter"/>
                <w:b/>
                <w:bCs/>
                <w:color w:val="1F4B47"/>
                <w:sz w:val="17"/>
                <w:szCs w:val="17"/>
              </w:rPr>
              <w:t xml:space="preserve">(2)</w:t>
            </w:r>
            <w:r>
              <w:rPr>
                <w:rFonts w:ascii="Inter" w:cs="Inter" w:eastAsia="Inter" w:hAnsi="Inter"/>
                <w:color w:val="222222"/>
                <w:sz w:val="17"/>
                <w:szCs w:val="17"/>
              </w:rPr>
              <w:t xml:space="preserve">	Die Verschwiegenheitspflicht besteht nicht, soweit die Offenlegung zur Wahrung berechtigter Interessen des Steuerberaters erforderlich ist. Der Steuerberater ist auch insoweit von der Verschwiegenheitspflicht entbunden, als er nach den Versicherungsbedingungen seiner Berufshaftpflichtversicherung zur Information und Mitwirkung verpflichtet ist.</w:t>
            </w:r>
          </w:p>
        </w:tc>
        <w:tc>
          <w:tcPr>
            <w:tcW w:type="dxa" w:w="5103"/>
            <w:tcBorders>
              <w:top w:val="none" w:color="FFFFFF" w:sz="0"/>
              <w:left w:val="single" w:color="D9E2E2" w:sz="4"/>
              <w:bottom w:val="none" w:color="FFFFFF" w:sz="0"/>
              <w:right w:val="single" w:color="D9E2E2" w:sz="4"/>
            </w:tcBorders>
            <w:tcMar>
              <w:top w:type="dxa" w:w="0"/>
              <w:left w:type="dxa" w:w="170"/>
              <w:bottom w:type="dxa" w:w="0"/>
              <w:right w:type="dxa" w:w="170"/>
            </w:tcMar>
          </w:tcPr>
          <w:p>
            <w:pPr>
              <w:tabs>
                <w:tab w:val="left" w:pos="380"/>
              </w:tabs>
              <w:spacing w:after="60" w:line="264"/>
              <w:ind w:left="380" w:hanging="380"/>
            </w:pPr>
            <w:r>
              <w:rPr>
                <w:rFonts w:ascii="Inter" w:cs="Inter" w:eastAsia="Inter" w:hAnsi="Inter"/>
                <w:b/>
                <w:bCs/>
                <w:color w:val="1F4B47"/>
                <w:sz w:val="17"/>
                <w:szCs w:val="17"/>
              </w:rPr>
              <w:t xml:space="preserve">(2)</w:t>
            </w:r>
            <w:r>
              <w:rPr>
                <w:rFonts w:ascii="Inter" w:cs="Inter" w:eastAsia="Inter" w:hAnsi="Inter"/>
                <w:color w:val="222222"/>
                <w:sz w:val="17"/>
                <w:szCs w:val="17"/>
              </w:rPr>
              <w:t xml:space="preserve">	The duty of confidentiality does not apply to the extent that disclosure is necessary to safeguard the Tax Advisor’s legitimate interests. The Tax Advisor is also released from the duty of confidentiality to the extent that the Tax Advisor is obliged to provide information and cooperate under the terms of the Tax Advisor’s professional liability insurance.</w:t>
            </w:r>
          </w:p>
        </w:tc>
      </w:tr>
      <w:tr>
        <w:trPr>
          <w:cantSplit/>
        </w:trPr>
        <w:tc>
          <w:tcPr>
            <w:tcW w:type="dxa" w:w="5103"/>
            <w:tcBorders>
              <w:top w:val="none" w:color="FFFFFF" w:sz="0"/>
              <w:left w:val="single" w:color="D9E2E2" w:sz="4"/>
              <w:bottom w:val="none" w:color="FFFFFF" w:sz="0"/>
              <w:right w:val="single" w:color="D9E2E2" w:sz="4"/>
            </w:tcBorders>
            <w:tcMar>
              <w:top w:type="dxa" w:w="0"/>
              <w:left w:type="dxa" w:w="170"/>
              <w:bottom w:type="dxa" w:w="0"/>
              <w:right w:type="dxa" w:w="170"/>
            </w:tcMar>
          </w:tcPr>
          <w:p>
            <w:pPr>
              <w:tabs>
                <w:tab w:val="left" w:pos="380"/>
              </w:tabs>
              <w:spacing w:after="60" w:line="264"/>
              <w:ind w:left="380" w:hanging="380"/>
            </w:pPr>
            <w:r>
              <w:rPr>
                <w:rFonts w:ascii="Inter" w:cs="Inter" w:eastAsia="Inter" w:hAnsi="Inter"/>
                <w:b/>
                <w:bCs/>
                <w:color w:val="1F4B47"/>
                <w:sz w:val="17"/>
                <w:szCs w:val="17"/>
              </w:rPr>
              <w:t xml:space="preserve">(3)</w:t>
            </w:r>
            <w:r>
              <w:rPr>
                <w:rFonts w:ascii="Inter" w:cs="Inter" w:eastAsia="Inter" w:hAnsi="Inter"/>
                <w:color w:val="222222"/>
                <w:sz w:val="17"/>
                <w:szCs w:val="17"/>
              </w:rPr>
              <w:t xml:space="preserve">	Gesetzliche Auskunfts- und Aussageverweigerungsrechte, u. a. nach § 102 AO, § 53 StPO und § 383 ZPO, bleiben unberührt.</w:t>
            </w:r>
          </w:p>
        </w:tc>
        <w:tc>
          <w:tcPr>
            <w:tcW w:type="dxa" w:w="5103"/>
            <w:tcBorders>
              <w:top w:val="none" w:color="FFFFFF" w:sz="0"/>
              <w:left w:val="single" w:color="D9E2E2" w:sz="4"/>
              <w:bottom w:val="none" w:color="FFFFFF" w:sz="0"/>
              <w:right w:val="single" w:color="D9E2E2" w:sz="4"/>
            </w:tcBorders>
            <w:tcMar>
              <w:top w:type="dxa" w:w="0"/>
              <w:left w:type="dxa" w:w="170"/>
              <w:bottom w:type="dxa" w:w="0"/>
              <w:right w:type="dxa" w:w="170"/>
            </w:tcMar>
          </w:tcPr>
          <w:p>
            <w:pPr>
              <w:tabs>
                <w:tab w:val="left" w:pos="380"/>
              </w:tabs>
              <w:spacing w:after="60" w:line="264"/>
              <w:ind w:left="380" w:hanging="380"/>
            </w:pPr>
            <w:r>
              <w:rPr>
                <w:rFonts w:ascii="Inter" w:cs="Inter" w:eastAsia="Inter" w:hAnsi="Inter"/>
                <w:b/>
                <w:bCs/>
                <w:color w:val="1F4B47"/>
                <w:sz w:val="17"/>
                <w:szCs w:val="17"/>
              </w:rPr>
              <w:t xml:space="preserve">(3)</w:t>
            </w:r>
            <w:r>
              <w:rPr>
                <w:rFonts w:ascii="Inter" w:cs="Inter" w:eastAsia="Inter" w:hAnsi="Inter"/>
                <w:color w:val="222222"/>
                <w:sz w:val="17"/>
                <w:szCs w:val="17"/>
              </w:rPr>
              <w:t xml:space="preserve">	Statutory rights to refuse to provide information and to testify, including under § 102 AO, § 53 StPO and § 383 ZPO, remain unaffected.</w:t>
            </w:r>
          </w:p>
        </w:tc>
      </w:tr>
      <w:tr>
        <w:trPr>
          <w:cantSplit/>
        </w:trPr>
        <w:tc>
          <w:tcPr>
            <w:tcW w:type="dxa" w:w="5103"/>
            <w:tcBorders>
              <w:top w:val="none" w:color="FFFFFF" w:sz="0"/>
              <w:left w:val="single" w:color="D9E2E2" w:sz="4"/>
              <w:bottom w:val="single" w:color="D9E2E2" w:sz="4"/>
              <w:right w:val="single" w:color="D9E2E2" w:sz="4"/>
            </w:tcBorders>
            <w:tcMar>
              <w:top w:type="dxa" w:w="0"/>
              <w:left w:type="dxa" w:w="170"/>
              <w:bottom w:type="dxa" w:w="110"/>
              <w:right w:type="dxa" w:w="170"/>
            </w:tcMar>
          </w:tcPr>
          <w:p>
            <w:pPr>
              <w:tabs>
                <w:tab w:val="left" w:pos="380"/>
              </w:tabs>
              <w:spacing w:after="60" w:line="264"/>
              <w:ind w:left="380" w:hanging="380"/>
            </w:pPr>
            <w:r>
              <w:rPr>
                <w:rFonts w:ascii="Inter" w:cs="Inter" w:eastAsia="Inter" w:hAnsi="Inter"/>
                <w:b/>
                <w:bCs/>
                <w:color w:val="1F4B47"/>
                <w:sz w:val="17"/>
                <w:szCs w:val="17"/>
              </w:rPr>
              <w:t xml:space="preserve">(4)</w:t>
            </w:r>
            <w:r>
              <w:rPr>
                <w:rFonts w:ascii="Inter" w:cs="Inter" w:eastAsia="Inter" w:hAnsi="Inter"/>
                <w:color w:val="222222"/>
                <w:sz w:val="17"/>
                <w:szCs w:val="17"/>
              </w:rPr>
              <w:t xml:space="preserve">	Der Steuerberater ist von der Verschwiegenheitspflicht entbunden, soweit dies zur Bestellung eines allgemeinen Vertreters (§ 69 StBerG) oder zur Durchführung eines Zertifizierungsaudits in der Kanzlei des Steuerberaters erforderlich ist und die insoweit tätigen Personen ihrerseits über ihre Verschwiegenheitspflicht belehrt worden sind. Der Auftraggeber erklärt sich damit einverstanden, dass durch den allgemeinen Vertreter oder den Zertifizierer/Auditor Einsicht in seine – vom Steuerberater angelegte und geführte – Handakte genommen wird.</w:t>
            </w:r>
          </w:p>
        </w:tc>
        <w:tc>
          <w:tcPr>
            <w:tcW w:type="dxa" w:w="5103"/>
            <w:tcBorders>
              <w:top w:val="none" w:color="FFFFFF" w:sz="0"/>
              <w:left w:val="single" w:color="D9E2E2" w:sz="4"/>
              <w:bottom w:val="single" w:color="D9E2E2" w:sz="4"/>
              <w:right w:val="single" w:color="D9E2E2" w:sz="4"/>
            </w:tcBorders>
            <w:tcMar>
              <w:top w:type="dxa" w:w="0"/>
              <w:left w:type="dxa" w:w="170"/>
              <w:bottom w:type="dxa" w:w="110"/>
              <w:right w:type="dxa" w:w="170"/>
            </w:tcMar>
          </w:tcPr>
          <w:p>
            <w:pPr>
              <w:tabs>
                <w:tab w:val="left" w:pos="380"/>
              </w:tabs>
              <w:spacing w:after="60" w:line="264"/>
              <w:ind w:left="380" w:hanging="380"/>
            </w:pPr>
            <w:r>
              <w:rPr>
                <w:rFonts w:ascii="Inter" w:cs="Inter" w:eastAsia="Inter" w:hAnsi="Inter"/>
                <w:b/>
                <w:bCs/>
                <w:color w:val="1F4B47"/>
                <w:sz w:val="17"/>
                <w:szCs w:val="17"/>
              </w:rPr>
              <w:t xml:space="preserve">(4)</w:t>
            </w:r>
            <w:r>
              <w:rPr>
                <w:rFonts w:ascii="Inter" w:cs="Inter" w:eastAsia="Inter" w:hAnsi="Inter"/>
                <w:color w:val="222222"/>
                <w:sz w:val="17"/>
                <w:szCs w:val="17"/>
              </w:rPr>
              <w:t xml:space="preserve">	The Tax Advisor is released from the duty of confidentiality to the extent necessary for the appointment of a general representative (§ 69 StBerG) or for conducting a certification audit at the Tax Advisor’s practice, provided that the persons acting in this capacity have in turn been instructed about their duty of confidentiality. The Client agrees that the general representative or the certifier/auditor may inspect the Client’s file created and kept by the Tax Advisor.</w:t>
            </w:r>
          </w:p>
        </w:tc>
      </w:tr>
      <w:tr>
        <w:trPr>
          <w:cantSplit/>
        </w:trPr>
        <w:tc>
          <w:tcPr>
            <w:tcW w:type="dxa" w:w="5103"/>
            <w:tcBorders>
              <w:top w:val="single" w:color="D9E2E2" w:sz="4"/>
              <w:left w:val="single" w:color="D9E2E2" w:sz="4"/>
              <w:bottom w:val="single" w:color="D9E2E2" w:sz="4"/>
              <w:right w:val="single" w:color="D9E2E2" w:sz="4"/>
            </w:tcBorders>
            <w:tcMar>
              <w:top w:type="dxa" w:w="120"/>
              <w:left w:type="dxa" w:w="170"/>
              <w:bottom w:type="dxa" w:w="110"/>
              <w:right w:type="dxa" w:w="170"/>
            </w:tcMar>
          </w:tcPr>
          <w:p>
            <w:pPr>
              <w:spacing w:after="80"/>
            </w:pPr>
            <w:r>
              <w:rPr>
                <w:rFonts w:ascii="Inter" w:cs="Inter" w:eastAsia="Inter" w:hAnsi="Inter"/>
                <w:b/>
                <w:bCs/>
                <w:color w:val="1F4B47"/>
                <w:sz w:val="19"/>
                <w:szCs w:val="19"/>
              </w:rPr>
              <w:t xml:space="preserve">3  </w:t>
            </w:r>
            <w:r>
              <w:rPr>
                <w:rFonts w:ascii="Inter" w:cs="Inter" w:eastAsia="Inter" w:hAnsi="Inter"/>
                <w:b/>
                <w:bCs/>
                <w:color w:val="123330"/>
                <w:sz w:val="19"/>
                <w:szCs w:val="19"/>
              </w:rPr>
              <w:t xml:space="preserve">Mitwirkung Dritter</w:t>
            </w:r>
          </w:p>
          <w:p>
            <w:pPr>
              <w:spacing w:after="60" w:line="264"/>
            </w:pPr>
            <w:r>
              <w:rPr>
                <w:rFonts w:ascii="Inter" w:cs="Inter" w:eastAsia="Inter" w:hAnsi="Inter"/>
                <w:color w:val="222222"/>
                <w:sz w:val="17"/>
                <w:szCs w:val="17"/>
              </w:rPr>
              <w:t xml:space="preserve">Der Steuerberater ist berechtigt, zur Ausführung des Auftrags Mitarbeiter und unter den Voraussetzungen des § 62a StBerG auch externe Dienstleister (insbesondere datenverarbeitende Unternehmen) heranzuziehen. Die Beteiligung fachkundiger Dritter zur Mandatsbearbeitung (z. B. andere Steuerberater, Wirtschaftsprüfer, Rechtsanwälte) bedarf der Einwilligung und des Auftrags des Auftraggebers. Der Steuerberater ist nicht berechtigt und verpflichtet, diese Dritten ohne Auftrag des Auftraggebers hinzuzuziehen.</w:t>
            </w:r>
          </w:p>
        </w:tc>
        <w:tc>
          <w:tcPr>
            <w:tcW w:type="dxa" w:w="5103"/>
            <w:tcBorders>
              <w:top w:val="single" w:color="D9E2E2" w:sz="4"/>
              <w:left w:val="single" w:color="D9E2E2" w:sz="4"/>
              <w:bottom w:val="single" w:color="D9E2E2" w:sz="4"/>
              <w:right w:val="single" w:color="D9E2E2" w:sz="4"/>
            </w:tcBorders>
            <w:tcMar>
              <w:top w:type="dxa" w:w="120"/>
              <w:left w:type="dxa" w:w="170"/>
              <w:bottom w:type="dxa" w:w="110"/>
              <w:right w:type="dxa" w:w="170"/>
            </w:tcMar>
          </w:tcPr>
          <w:p>
            <w:pPr>
              <w:spacing w:after="80"/>
            </w:pPr>
            <w:r>
              <w:rPr>
                <w:rFonts w:ascii="Inter" w:cs="Inter" w:eastAsia="Inter" w:hAnsi="Inter"/>
                <w:b/>
                <w:bCs/>
                <w:color w:val="1F4B47"/>
                <w:sz w:val="19"/>
                <w:szCs w:val="19"/>
              </w:rPr>
              <w:t xml:space="preserve">3  </w:t>
            </w:r>
            <w:r>
              <w:rPr>
                <w:rFonts w:ascii="Inter" w:cs="Inter" w:eastAsia="Inter" w:hAnsi="Inter"/>
                <w:b/>
                <w:bCs/>
                <w:color w:val="123330"/>
                <w:sz w:val="19"/>
                <w:szCs w:val="19"/>
              </w:rPr>
              <w:t xml:space="preserve">Involvement of Third Parties</w:t>
            </w:r>
          </w:p>
          <w:p>
            <w:pPr>
              <w:spacing w:after="60" w:line="264"/>
            </w:pPr>
            <w:r>
              <w:rPr>
                <w:rFonts w:ascii="Inter" w:cs="Inter" w:eastAsia="Inter" w:hAnsi="Inter"/>
                <w:color w:val="222222"/>
                <w:sz w:val="17"/>
                <w:szCs w:val="17"/>
              </w:rPr>
              <w:t xml:space="preserve">The Tax Advisor is entitled to use employees and, subject to the requirements of § 62a StBerG, external service providers (in particular data processing companies) to perform the engagement. The involvement of expert third parties in handling the mandate (e.g. other tax advisors, auditors, lawyers) requires the consent and instruction of the Client. The Tax Advisor is neither entitled nor obliged to involve such third parties without the Client’s instruction.</w:t>
            </w:r>
          </w:p>
        </w:tc>
      </w:tr>
      <w:tr>
        <w:trPr>
          <w:cantSplit/>
        </w:trPr>
        <w:tc>
          <w:tcPr>
            <w:tcW w:type="dxa" w:w="5103"/>
            <w:tcBorders>
              <w:top w:val="single" w:color="D9E2E2" w:sz="4"/>
              <w:left w:val="single" w:color="D9E2E2" w:sz="4"/>
              <w:bottom w:val="none" w:color="FFFFFF" w:sz="0"/>
              <w:right w:val="single" w:color="D9E2E2" w:sz="4"/>
            </w:tcBorders>
            <w:tcMar>
              <w:top w:type="dxa" w:w="120"/>
              <w:left w:type="dxa" w:w="170"/>
              <w:bottom w:type="dxa" w:w="0"/>
              <w:right w:type="dxa" w:w="170"/>
            </w:tcMar>
          </w:tcPr>
          <w:p>
            <w:pPr>
              <w:spacing w:after="80"/>
            </w:pPr>
            <w:r>
              <w:rPr>
                <w:rFonts w:ascii="Inter" w:cs="Inter" w:eastAsia="Inter" w:hAnsi="Inter"/>
                <w:b/>
                <w:bCs/>
                <w:color w:val="1F4B47"/>
                <w:sz w:val="19"/>
                <w:szCs w:val="19"/>
              </w:rPr>
              <w:t xml:space="preserve">4  </w:t>
            </w:r>
            <w:r>
              <w:rPr>
                <w:rFonts w:ascii="Inter" w:cs="Inter" w:eastAsia="Inter" w:hAnsi="Inter"/>
                <w:b/>
                <w:bCs/>
                <w:color w:val="123330"/>
                <w:sz w:val="19"/>
                <w:szCs w:val="19"/>
              </w:rPr>
              <w:t xml:space="preserve">Elektronische Kommunikation, Datenschutz</w:t>
            </w:r>
          </w:p>
          <w:p>
            <w:pPr>
              <w:tabs>
                <w:tab w:val="left" w:pos="380"/>
              </w:tabs>
              <w:spacing w:after="60" w:line="264"/>
              <w:ind w:left="380" w:hanging="380"/>
            </w:pPr>
            <w:r>
              <w:rPr>
                <w:rFonts w:ascii="Inter" w:cs="Inter" w:eastAsia="Inter" w:hAnsi="Inter"/>
                <w:b/>
                <w:bCs/>
                <w:color w:val="1F4B47"/>
                <w:sz w:val="17"/>
                <w:szCs w:val="17"/>
              </w:rPr>
              <w:t xml:space="preserve">(1)</w:t>
            </w:r>
            <w:r>
              <w:rPr>
                <w:rFonts w:ascii="Inter" w:cs="Inter" w:eastAsia="Inter" w:hAnsi="Inter"/>
                <w:color w:val="222222"/>
                <w:sz w:val="17"/>
                <w:szCs w:val="17"/>
              </w:rPr>
              <w:t xml:space="preserve">	Der Steuerberater ist berechtigt, personenbezogene Daten des Auftraggebers im Rahmen der erteilten Aufträge maschinell zu erheben und in einer automatisierten Datei zu verarbeiten oder einem Dienstleistungsrechenzentrum zur weiteren Auftragsverarbeitung zu übertragen.</w:t>
            </w:r>
          </w:p>
        </w:tc>
        <w:tc>
          <w:tcPr>
            <w:tcW w:type="dxa" w:w="5103"/>
            <w:tcBorders>
              <w:top w:val="single" w:color="D9E2E2" w:sz="4"/>
              <w:left w:val="single" w:color="D9E2E2" w:sz="4"/>
              <w:bottom w:val="none" w:color="FFFFFF" w:sz="0"/>
              <w:right w:val="single" w:color="D9E2E2" w:sz="4"/>
            </w:tcBorders>
            <w:tcMar>
              <w:top w:type="dxa" w:w="120"/>
              <w:left w:type="dxa" w:w="170"/>
              <w:bottom w:type="dxa" w:w="0"/>
              <w:right w:type="dxa" w:w="170"/>
            </w:tcMar>
          </w:tcPr>
          <w:p>
            <w:pPr>
              <w:spacing w:after="80"/>
            </w:pPr>
            <w:r>
              <w:rPr>
                <w:rFonts w:ascii="Inter" w:cs="Inter" w:eastAsia="Inter" w:hAnsi="Inter"/>
                <w:b/>
                <w:bCs/>
                <w:color w:val="1F4B47"/>
                <w:sz w:val="19"/>
                <w:szCs w:val="19"/>
              </w:rPr>
              <w:t xml:space="preserve">4  </w:t>
            </w:r>
            <w:r>
              <w:rPr>
                <w:rFonts w:ascii="Inter" w:cs="Inter" w:eastAsia="Inter" w:hAnsi="Inter"/>
                <w:b/>
                <w:bCs/>
                <w:color w:val="123330"/>
                <w:sz w:val="19"/>
                <w:szCs w:val="19"/>
              </w:rPr>
              <w:t xml:space="preserve">Electronic Communication, Data Protection</w:t>
            </w:r>
          </w:p>
          <w:p>
            <w:pPr>
              <w:tabs>
                <w:tab w:val="left" w:pos="380"/>
              </w:tabs>
              <w:spacing w:after="60" w:line="264"/>
              <w:ind w:left="380" w:hanging="380"/>
            </w:pPr>
            <w:r>
              <w:rPr>
                <w:rFonts w:ascii="Inter" w:cs="Inter" w:eastAsia="Inter" w:hAnsi="Inter"/>
                <w:b/>
                <w:bCs/>
                <w:color w:val="1F4B47"/>
                <w:sz w:val="17"/>
                <w:szCs w:val="17"/>
              </w:rPr>
              <w:t xml:space="preserve">(1)</w:t>
            </w:r>
            <w:r>
              <w:rPr>
                <w:rFonts w:ascii="Inter" w:cs="Inter" w:eastAsia="Inter" w:hAnsi="Inter"/>
                <w:color w:val="222222"/>
                <w:sz w:val="17"/>
                <w:szCs w:val="17"/>
              </w:rPr>
              <w:t xml:space="preserve">	The Tax Advisor is entitled, within the scope of the engagements issued, to collect personal data of the Client electronically and to process it in an automated file, or to transfer it to a data processing service centre for further processing on the Tax Advisor’s behalf.</w:t>
            </w:r>
          </w:p>
        </w:tc>
      </w:tr>
      <w:tr>
        <w:trPr>
          <w:cantSplit/>
        </w:trPr>
        <w:tc>
          <w:tcPr>
            <w:tcW w:type="dxa" w:w="5103"/>
            <w:tcBorders>
              <w:top w:val="none" w:color="FFFFFF" w:sz="0"/>
              <w:left w:val="single" w:color="D9E2E2" w:sz="4"/>
              <w:bottom w:val="none" w:color="FFFFFF" w:sz="0"/>
              <w:right w:val="single" w:color="D9E2E2" w:sz="4"/>
            </w:tcBorders>
            <w:tcMar>
              <w:top w:type="dxa" w:w="0"/>
              <w:left w:type="dxa" w:w="170"/>
              <w:bottom w:type="dxa" w:w="0"/>
              <w:right w:type="dxa" w:w="170"/>
            </w:tcMar>
          </w:tcPr>
          <w:p>
            <w:pPr>
              <w:tabs>
                <w:tab w:val="left" w:pos="380"/>
              </w:tabs>
              <w:spacing w:after="60" w:line="264"/>
              <w:ind w:left="380" w:hanging="380"/>
            </w:pPr>
            <w:r>
              <w:rPr>
                <w:rFonts w:ascii="Inter" w:cs="Inter" w:eastAsia="Inter" w:hAnsi="Inter"/>
                <w:b/>
                <w:bCs/>
                <w:color w:val="1F4B47"/>
                <w:sz w:val="17"/>
                <w:szCs w:val="17"/>
              </w:rPr>
              <w:t xml:space="preserve">(2)</w:t>
            </w:r>
            <w:r>
              <w:rPr>
                <w:rFonts w:ascii="Inter" w:cs="Inter" w:eastAsia="Inter" w:hAnsi="Inter"/>
                <w:color w:val="222222"/>
                <w:sz w:val="17"/>
                <w:szCs w:val="17"/>
              </w:rPr>
              <w:t xml:space="preserve">	Der Steuerberater ist berechtigt, in Erfüllung seiner Pflichten nach der DSGVO und dem Bundesdatenschutzgesetz einen Beauftragten für den Datenschutz zu bestellen. Sofern dieser Beauftragte für den Datenschutz nicht bereits nach Ziff. 2 Abs. 1 Satz 3 der Verschwiegenheitspflicht unterliegt, hat der Steuerberater dafür Sorge zu tragen, dass der Beauftragte für den Datenschutz sich mit Aufnahme seiner Tätigkeit zur Wahrung des Datengeheimnisses verpflichtet.</w:t>
            </w:r>
          </w:p>
        </w:tc>
        <w:tc>
          <w:tcPr>
            <w:tcW w:type="dxa" w:w="5103"/>
            <w:tcBorders>
              <w:top w:val="none" w:color="FFFFFF" w:sz="0"/>
              <w:left w:val="single" w:color="D9E2E2" w:sz="4"/>
              <w:bottom w:val="none" w:color="FFFFFF" w:sz="0"/>
              <w:right w:val="single" w:color="D9E2E2" w:sz="4"/>
            </w:tcBorders>
            <w:tcMar>
              <w:top w:type="dxa" w:w="0"/>
              <w:left w:type="dxa" w:w="170"/>
              <w:bottom w:type="dxa" w:w="0"/>
              <w:right w:type="dxa" w:w="170"/>
            </w:tcMar>
          </w:tcPr>
          <w:p>
            <w:pPr>
              <w:tabs>
                <w:tab w:val="left" w:pos="380"/>
              </w:tabs>
              <w:spacing w:after="60" w:line="264"/>
              <w:ind w:left="380" w:hanging="380"/>
            </w:pPr>
            <w:r>
              <w:rPr>
                <w:rFonts w:ascii="Inter" w:cs="Inter" w:eastAsia="Inter" w:hAnsi="Inter"/>
                <w:b/>
                <w:bCs/>
                <w:color w:val="1F4B47"/>
                <w:sz w:val="17"/>
                <w:szCs w:val="17"/>
              </w:rPr>
              <w:t xml:space="preserve">(2)</w:t>
            </w:r>
            <w:r>
              <w:rPr>
                <w:rFonts w:ascii="Inter" w:cs="Inter" w:eastAsia="Inter" w:hAnsi="Inter"/>
                <w:color w:val="222222"/>
                <w:sz w:val="17"/>
                <w:szCs w:val="17"/>
              </w:rPr>
              <w:t xml:space="preserve">	In fulfilment of the Tax Advisor’s obligations under the GDPR and the German Federal Data Protection Act (BDSG), the Tax Advisor is entitled to appoint a data protection officer. If this data protection officer is not already subject to the duty of confidentiality under Section 2 (1) sentence 3, the Tax Advisor shall ensure that the data protection officer undertakes to maintain data secrecy upon commencing their activity.</w:t>
            </w:r>
          </w:p>
        </w:tc>
      </w:tr>
      <w:tr>
        <w:trPr>
          <w:cantSplit/>
        </w:trPr>
        <w:tc>
          <w:tcPr>
            <w:tcW w:type="dxa" w:w="5103"/>
            <w:tcBorders>
              <w:top w:val="none" w:color="FFFFFF" w:sz="0"/>
              <w:left w:val="single" w:color="D9E2E2" w:sz="4"/>
              <w:bottom w:val="single" w:color="D9E2E2" w:sz="4"/>
              <w:right w:val="single" w:color="D9E2E2" w:sz="4"/>
            </w:tcBorders>
            <w:tcMar>
              <w:top w:type="dxa" w:w="0"/>
              <w:left w:type="dxa" w:w="170"/>
              <w:bottom w:type="dxa" w:w="110"/>
              <w:right w:type="dxa" w:w="170"/>
            </w:tcMar>
          </w:tcPr>
          <w:p>
            <w:pPr>
              <w:tabs>
                <w:tab w:val="left" w:pos="380"/>
              </w:tabs>
              <w:spacing w:after="60" w:line="264"/>
              <w:ind w:left="380" w:hanging="380"/>
            </w:pPr>
            <w:r>
              <w:rPr>
                <w:rFonts w:ascii="Inter" w:cs="Inter" w:eastAsia="Inter" w:hAnsi="Inter"/>
                <w:b/>
                <w:bCs/>
                <w:color w:val="1F4B47"/>
                <w:sz w:val="17"/>
                <w:szCs w:val="17"/>
              </w:rPr>
              <w:t xml:space="preserve">(3)</w:t>
            </w:r>
            <w:r>
              <w:rPr>
                <w:rFonts w:ascii="Inter" w:cs="Inter" w:eastAsia="Inter" w:hAnsi="Inter"/>
                <w:color w:val="222222"/>
                <w:sz w:val="17"/>
                <w:szCs w:val="17"/>
              </w:rPr>
              <w:t xml:space="preserve">	Der Auftraggeber wird darauf hingewiesen, dass die Verwendung elektronischer Kommunikationsmittel (E-Mail etc.) mit Risiken für die Vertraulichkeit der Kommunikation verbunden sein kann. In Kenntnis dessen stimmt der Auftraggeber der Nutzung elektronischer Kommunikationsmittel durch den Steuerberater zu.</w:t>
            </w:r>
          </w:p>
        </w:tc>
        <w:tc>
          <w:tcPr>
            <w:tcW w:type="dxa" w:w="5103"/>
            <w:tcBorders>
              <w:top w:val="none" w:color="FFFFFF" w:sz="0"/>
              <w:left w:val="single" w:color="D9E2E2" w:sz="4"/>
              <w:bottom w:val="single" w:color="D9E2E2" w:sz="4"/>
              <w:right w:val="single" w:color="D9E2E2" w:sz="4"/>
            </w:tcBorders>
            <w:tcMar>
              <w:top w:type="dxa" w:w="0"/>
              <w:left w:type="dxa" w:w="170"/>
              <w:bottom w:type="dxa" w:w="110"/>
              <w:right w:type="dxa" w:w="170"/>
            </w:tcMar>
          </w:tcPr>
          <w:p>
            <w:pPr>
              <w:tabs>
                <w:tab w:val="left" w:pos="380"/>
              </w:tabs>
              <w:spacing w:after="60" w:line="264"/>
              <w:ind w:left="380" w:hanging="380"/>
            </w:pPr>
            <w:r>
              <w:rPr>
                <w:rFonts w:ascii="Inter" w:cs="Inter" w:eastAsia="Inter" w:hAnsi="Inter"/>
                <w:b/>
                <w:bCs/>
                <w:color w:val="1F4B47"/>
                <w:sz w:val="17"/>
                <w:szCs w:val="17"/>
              </w:rPr>
              <w:t xml:space="preserve">(3)</w:t>
            </w:r>
            <w:r>
              <w:rPr>
                <w:rFonts w:ascii="Inter" w:cs="Inter" w:eastAsia="Inter" w:hAnsi="Inter"/>
                <w:color w:val="222222"/>
                <w:sz w:val="17"/>
                <w:szCs w:val="17"/>
              </w:rPr>
              <w:t xml:space="preserve">	The Client is advised that the use of electronic means of communication (e-mail etc.) may involve risks to the confidentiality of communications. In knowledge of this, the Client consents to the Tax Advisor’s use of electronic means of communication.</w:t>
            </w:r>
          </w:p>
        </w:tc>
      </w:tr>
      <w:tr>
        <w:trPr>
          <w:cantSplit/>
        </w:trPr>
        <w:tc>
          <w:tcPr>
            <w:tcW w:type="dxa" w:w="5103"/>
            <w:tcBorders>
              <w:top w:val="single" w:color="D9E2E2" w:sz="4"/>
              <w:left w:val="single" w:color="D9E2E2" w:sz="4"/>
              <w:bottom w:val="none" w:color="FFFFFF" w:sz="0"/>
              <w:right w:val="single" w:color="D9E2E2" w:sz="4"/>
            </w:tcBorders>
            <w:tcMar>
              <w:top w:type="dxa" w:w="120"/>
              <w:left w:type="dxa" w:w="170"/>
              <w:bottom w:type="dxa" w:w="0"/>
              <w:right w:type="dxa" w:w="170"/>
            </w:tcMar>
          </w:tcPr>
          <w:p>
            <w:pPr>
              <w:spacing w:after="80"/>
            </w:pPr>
            <w:r>
              <w:rPr>
                <w:rFonts w:ascii="Inter" w:cs="Inter" w:eastAsia="Inter" w:hAnsi="Inter"/>
                <w:b/>
                <w:bCs/>
                <w:color w:val="1F4B47"/>
                <w:sz w:val="19"/>
                <w:szCs w:val="19"/>
              </w:rPr>
              <w:t xml:space="preserve">5  </w:t>
            </w:r>
            <w:r>
              <w:rPr>
                <w:rFonts w:ascii="Inter" w:cs="Inter" w:eastAsia="Inter" w:hAnsi="Inter"/>
                <w:b/>
                <w:bCs/>
                <w:color w:val="123330"/>
                <w:sz w:val="19"/>
                <w:szCs w:val="19"/>
              </w:rPr>
              <w:t xml:space="preserve">Mängelbeseitigung</w:t>
            </w:r>
          </w:p>
          <w:p>
            <w:pPr>
              <w:tabs>
                <w:tab w:val="left" w:pos="380"/>
              </w:tabs>
              <w:spacing w:after="60" w:line="264"/>
              <w:ind w:left="380" w:hanging="380"/>
            </w:pPr>
            <w:r>
              <w:rPr>
                <w:rFonts w:ascii="Inter" w:cs="Inter" w:eastAsia="Inter" w:hAnsi="Inter"/>
                <w:b/>
                <w:bCs/>
                <w:color w:val="1F4B47"/>
                <w:sz w:val="17"/>
                <w:szCs w:val="17"/>
              </w:rPr>
              <w:t xml:space="preserve">(1)</w:t>
            </w:r>
            <w:r>
              <w:rPr>
                <w:rFonts w:ascii="Inter" w:cs="Inter" w:eastAsia="Inter" w:hAnsi="Inter"/>
                <w:color w:val="222222"/>
                <w:sz w:val="17"/>
                <w:szCs w:val="17"/>
              </w:rPr>
              <w:t xml:space="preserve">	Bei etwaigen Mängeln ist dem Steuerberater Gelegenheit zur Nachbesserung zu geben.</w:t>
            </w:r>
          </w:p>
        </w:tc>
        <w:tc>
          <w:tcPr>
            <w:tcW w:type="dxa" w:w="5103"/>
            <w:tcBorders>
              <w:top w:val="single" w:color="D9E2E2" w:sz="4"/>
              <w:left w:val="single" w:color="D9E2E2" w:sz="4"/>
              <w:bottom w:val="none" w:color="FFFFFF" w:sz="0"/>
              <w:right w:val="single" w:color="D9E2E2" w:sz="4"/>
            </w:tcBorders>
            <w:tcMar>
              <w:top w:type="dxa" w:w="120"/>
              <w:left w:type="dxa" w:w="170"/>
              <w:bottom w:type="dxa" w:w="0"/>
              <w:right w:type="dxa" w:w="170"/>
            </w:tcMar>
          </w:tcPr>
          <w:p>
            <w:pPr>
              <w:spacing w:after="80"/>
            </w:pPr>
            <w:r>
              <w:rPr>
                <w:rFonts w:ascii="Inter" w:cs="Inter" w:eastAsia="Inter" w:hAnsi="Inter"/>
                <w:b/>
                <w:bCs/>
                <w:color w:val="1F4B47"/>
                <w:sz w:val="19"/>
                <w:szCs w:val="19"/>
              </w:rPr>
              <w:t xml:space="preserve">5  </w:t>
            </w:r>
            <w:r>
              <w:rPr>
                <w:rFonts w:ascii="Inter" w:cs="Inter" w:eastAsia="Inter" w:hAnsi="Inter"/>
                <w:b/>
                <w:bCs/>
                <w:color w:val="123330"/>
                <w:sz w:val="19"/>
                <w:szCs w:val="19"/>
              </w:rPr>
              <w:t xml:space="preserve">Remedying of Defects</w:t>
            </w:r>
          </w:p>
          <w:p>
            <w:pPr>
              <w:tabs>
                <w:tab w:val="left" w:pos="380"/>
              </w:tabs>
              <w:spacing w:after="60" w:line="264"/>
              <w:ind w:left="380" w:hanging="380"/>
            </w:pPr>
            <w:r>
              <w:rPr>
                <w:rFonts w:ascii="Inter" w:cs="Inter" w:eastAsia="Inter" w:hAnsi="Inter"/>
                <w:b/>
                <w:bCs/>
                <w:color w:val="1F4B47"/>
                <w:sz w:val="17"/>
                <w:szCs w:val="17"/>
              </w:rPr>
              <w:t xml:space="preserve">(1)</w:t>
            </w:r>
            <w:r>
              <w:rPr>
                <w:rFonts w:ascii="Inter" w:cs="Inter" w:eastAsia="Inter" w:hAnsi="Inter"/>
                <w:color w:val="222222"/>
                <w:sz w:val="17"/>
                <w:szCs w:val="17"/>
              </w:rPr>
              <w:t xml:space="preserve">	In the event of any defects, the Tax Advisor must be given the opportunity to remedy them.</w:t>
            </w:r>
          </w:p>
        </w:tc>
      </w:tr>
      <w:tr>
        <w:trPr>
          <w:cantSplit/>
        </w:trPr>
        <w:tc>
          <w:tcPr>
            <w:tcW w:type="dxa" w:w="5103"/>
            <w:tcBorders>
              <w:top w:val="none" w:color="FFFFFF" w:sz="0"/>
              <w:left w:val="single" w:color="D9E2E2" w:sz="4"/>
              <w:bottom w:val="single" w:color="D9E2E2" w:sz="4"/>
              <w:right w:val="single" w:color="D9E2E2" w:sz="4"/>
            </w:tcBorders>
            <w:tcMar>
              <w:top w:type="dxa" w:w="0"/>
              <w:left w:type="dxa" w:w="170"/>
              <w:bottom w:type="dxa" w:w="110"/>
              <w:right w:type="dxa" w:w="170"/>
            </w:tcMar>
          </w:tcPr>
          <w:p>
            <w:pPr>
              <w:tabs>
                <w:tab w:val="left" w:pos="380"/>
              </w:tabs>
              <w:spacing w:after="60" w:line="264"/>
              <w:ind w:left="380" w:hanging="380"/>
            </w:pPr>
            <w:r>
              <w:rPr>
                <w:rFonts w:ascii="Inter" w:cs="Inter" w:eastAsia="Inter" w:hAnsi="Inter"/>
                <w:b/>
                <w:bCs/>
                <w:color w:val="1F4B47"/>
                <w:sz w:val="17"/>
                <w:szCs w:val="17"/>
              </w:rPr>
              <w:t xml:space="preserve">(2)</w:t>
            </w:r>
            <w:r>
              <w:rPr>
                <w:rFonts w:ascii="Inter" w:cs="Inter" w:eastAsia="Inter" w:hAnsi="Inter"/>
                <w:color w:val="222222"/>
                <w:sz w:val="17"/>
                <w:szCs w:val="17"/>
              </w:rPr>
              <w:t xml:space="preserve">	Offenbare Unrichtigkeiten (z. B. Schreibfehler, Rechenfehler) können vom Steuerberater jederzeit, auch Dritten gegenüber, berichtigt werden. Sonstige Mängel darf der Steuerberater Dritten gegenüber mit Einwilligung des Auftraggebers berichtigen. Die Einwilligung ist nicht erforderlich, wenn berechtigte Interessen des Steuerberaters den Interessen des Auftraggebers vorgehen.</w:t>
            </w:r>
          </w:p>
        </w:tc>
        <w:tc>
          <w:tcPr>
            <w:tcW w:type="dxa" w:w="5103"/>
            <w:tcBorders>
              <w:top w:val="none" w:color="FFFFFF" w:sz="0"/>
              <w:left w:val="single" w:color="D9E2E2" w:sz="4"/>
              <w:bottom w:val="single" w:color="D9E2E2" w:sz="4"/>
              <w:right w:val="single" w:color="D9E2E2" w:sz="4"/>
            </w:tcBorders>
            <w:tcMar>
              <w:top w:type="dxa" w:w="0"/>
              <w:left w:type="dxa" w:w="170"/>
              <w:bottom w:type="dxa" w:w="110"/>
              <w:right w:type="dxa" w:w="170"/>
            </w:tcMar>
          </w:tcPr>
          <w:p>
            <w:pPr>
              <w:tabs>
                <w:tab w:val="left" w:pos="380"/>
              </w:tabs>
              <w:spacing w:after="60" w:line="264"/>
              <w:ind w:left="380" w:hanging="380"/>
            </w:pPr>
            <w:r>
              <w:rPr>
                <w:rFonts w:ascii="Inter" w:cs="Inter" w:eastAsia="Inter" w:hAnsi="Inter"/>
                <w:b/>
                <w:bCs/>
                <w:color w:val="1F4B47"/>
                <w:sz w:val="17"/>
                <w:szCs w:val="17"/>
              </w:rPr>
              <w:t xml:space="preserve">(2)</w:t>
            </w:r>
            <w:r>
              <w:rPr>
                <w:rFonts w:ascii="Inter" w:cs="Inter" w:eastAsia="Inter" w:hAnsi="Inter"/>
                <w:color w:val="222222"/>
                <w:sz w:val="17"/>
                <w:szCs w:val="17"/>
              </w:rPr>
              <w:t xml:space="preserve">	Obvious inaccuracies (e.g. typing errors, calculation errors) may be corrected by the Tax Advisor at any time, including vis-à-vis third parties. The Tax Advisor may correct other defects vis-à-vis third parties with the Client’s consent. Consent is not required if the legitimate interests of the Tax Advisor outweigh the interests of the Client.</w:t>
            </w:r>
          </w:p>
        </w:tc>
      </w:tr>
      <w:tr>
        <w:tc>
          <w:tcPr>
            <w:tcW w:type="dxa" w:w="5103"/>
            <w:tcBorders>
              <w:top w:val="single" w:color="D9E2E2" w:sz="4"/>
              <w:left w:val="single" w:color="D9E2E2" w:sz="4"/>
              <w:bottom w:val="none" w:color="FFFFFF" w:sz="0"/>
              <w:right w:val="single" w:color="D9E2E2" w:sz="4"/>
            </w:tcBorders>
            <w:tcMar>
              <w:top w:type="dxa" w:w="120"/>
              <w:left w:type="dxa" w:w="170"/>
              <w:bottom w:type="dxa" w:w="0"/>
              <w:right w:type="dxa" w:w="170"/>
            </w:tcMar>
          </w:tcPr>
          <w:p>
            <w:pPr>
              <w:spacing w:after="80"/>
            </w:pPr>
            <w:r>
              <w:rPr>
                <w:rFonts w:ascii="Inter" w:cs="Inter" w:eastAsia="Inter" w:hAnsi="Inter"/>
                <w:b/>
                <w:bCs/>
                <w:color w:val="1F4B47"/>
                <w:sz w:val="19"/>
                <w:szCs w:val="19"/>
              </w:rPr>
              <w:t xml:space="preserve">6  </w:t>
            </w:r>
            <w:r>
              <w:rPr>
                <w:rFonts w:ascii="Inter" w:cs="Inter" w:eastAsia="Inter" w:hAnsi="Inter"/>
                <w:b/>
                <w:bCs/>
                <w:color w:val="123330"/>
                <w:sz w:val="19"/>
                <w:szCs w:val="19"/>
              </w:rPr>
              <w:t xml:space="preserve">Haftung</w:t>
            </w:r>
          </w:p>
          <w:p>
            <w:pPr>
              <w:tabs>
                <w:tab w:val="left" w:pos="380"/>
              </w:tabs>
              <w:spacing w:after="60" w:line="264"/>
              <w:ind w:left="380" w:hanging="380"/>
            </w:pPr>
            <w:r>
              <w:rPr>
                <w:rFonts w:ascii="Inter" w:cs="Inter" w:eastAsia="Inter" w:hAnsi="Inter"/>
                <w:b/>
                <w:bCs/>
                <w:color w:val="1F4B47"/>
                <w:sz w:val="17"/>
                <w:szCs w:val="17"/>
              </w:rPr>
              <w:t xml:space="preserve">(1)</w:t>
            </w:r>
            <w:r>
              <w:rPr>
                <w:rFonts w:ascii="Inter" w:cs="Inter" w:eastAsia="Inter" w:hAnsi="Inter"/>
                <w:color w:val="222222"/>
                <w:sz w:val="17"/>
                <w:szCs w:val="17"/>
              </w:rPr>
              <w:t xml:space="preserve">	Der Anspruch des Auftraggebers aus dem Auftragsverhältnis mit dem Steuerberater auf Ersatz eines fahrlässig verursachten Schadens wird auf 1.000.000,00 € (in Worten: eine Million €) begrenzt. Die Haftungsbegrenzung bezieht sich allein auf Fahrlässigkeit. Die Haftung für Vorsatz bleibt insoweit unberührt. Von der Haftungsbegrenzung ausgenommen sind Haftungsansprüche für Schäden aus der Verletzung des Lebens, des Körpers oder der Gesundheit. Die Haftungsbegrenzung gilt für die gesamte Tätigkeit des Steuerberaters für den Auftraggeber, also insbesondere auch für eine Ausweitung des Auftragsinhalts; einer erneuten Vereinbarung der Haftungsbegrenzung bedarf es insoweit nicht. Die Haftungsbegrenzung gilt auch gegenüber Dritten, soweit diese in den Schutzbereich des Auftragsverhältnisses fallen; § 334 BGB wird insoweit ausdrücklich nicht abbedungen. Einzelvertragliche Haftungsbegrenzungsvereinbarungen gehen dieser Regelung vor, lassen die Wirksamkeit dieser Regelung jedoch – soweit nicht ausdrücklich anders geregelt – unberührt.</w:t>
            </w:r>
          </w:p>
        </w:tc>
        <w:tc>
          <w:tcPr>
            <w:tcW w:type="dxa" w:w="5103"/>
            <w:tcBorders>
              <w:top w:val="single" w:color="D9E2E2" w:sz="4"/>
              <w:left w:val="single" w:color="D9E2E2" w:sz="4"/>
              <w:bottom w:val="none" w:color="FFFFFF" w:sz="0"/>
              <w:right w:val="single" w:color="D9E2E2" w:sz="4"/>
            </w:tcBorders>
            <w:tcMar>
              <w:top w:type="dxa" w:w="120"/>
              <w:left w:type="dxa" w:w="170"/>
              <w:bottom w:type="dxa" w:w="0"/>
              <w:right w:type="dxa" w:w="170"/>
            </w:tcMar>
          </w:tcPr>
          <w:p>
            <w:pPr>
              <w:spacing w:after="80"/>
            </w:pPr>
            <w:r>
              <w:rPr>
                <w:rFonts w:ascii="Inter" w:cs="Inter" w:eastAsia="Inter" w:hAnsi="Inter"/>
                <w:b/>
                <w:bCs/>
                <w:color w:val="1F4B47"/>
                <w:sz w:val="19"/>
                <w:szCs w:val="19"/>
              </w:rPr>
              <w:t xml:space="preserve">6  </w:t>
            </w:r>
            <w:r>
              <w:rPr>
                <w:rFonts w:ascii="Inter" w:cs="Inter" w:eastAsia="Inter" w:hAnsi="Inter"/>
                <w:b/>
                <w:bCs/>
                <w:color w:val="123330"/>
                <w:sz w:val="19"/>
                <w:szCs w:val="19"/>
              </w:rPr>
              <w:t xml:space="preserve">Liability</w:t>
            </w:r>
          </w:p>
          <w:p>
            <w:pPr>
              <w:tabs>
                <w:tab w:val="left" w:pos="380"/>
              </w:tabs>
              <w:spacing w:after="60" w:line="264"/>
              <w:ind w:left="380" w:hanging="380"/>
            </w:pPr>
            <w:r>
              <w:rPr>
                <w:rFonts w:ascii="Inter" w:cs="Inter" w:eastAsia="Inter" w:hAnsi="Inter"/>
                <w:b/>
                <w:bCs/>
                <w:color w:val="1F4B47"/>
                <w:sz w:val="17"/>
                <w:szCs w:val="17"/>
              </w:rPr>
              <w:t xml:space="preserve">(1)</w:t>
            </w:r>
            <w:r>
              <w:rPr>
                <w:rFonts w:ascii="Inter" w:cs="Inter" w:eastAsia="Inter" w:hAnsi="Inter"/>
                <w:color w:val="222222"/>
                <w:sz w:val="17"/>
                <w:szCs w:val="17"/>
              </w:rPr>
              <w:t xml:space="preserve">	The Client’s claim arising from the engagement with the Tax Advisor for compensation for negligently caused damage is limited to €1,000,000.00 (in words: one million euros). The limitation of liability applies solely to negligence. Liability for intent remains unaffected. Claims for damages arising from injury to life, body or health are excluded from the limitation of liability. The limitation of liability applies to the Tax Advisor’s entire activity for the Client, in particular also to any extension of the scope of the engagement; no renewed agreement on the limitation of liability is required in this respect. The limitation of liability also applies to third parties insofar as they fall within the protective scope of the engagement; § 334 BGB is expressly not excluded in this respect. Individual contractual agreements limiting liability take precedence over this provision but, unless expressly provided otherwise, do not affect its validity.</w:t>
            </w:r>
          </w:p>
        </w:tc>
      </w:tr>
      <w:tr>
        <w:trPr>
          <w:cantSplit/>
        </w:trPr>
        <w:tc>
          <w:tcPr>
            <w:tcW w:type="dxa" w:w="5103"/>
            <w:tcBorders>
              <w:top w:val="none" w:color="FFFFFF" w:sz="0"/>
              <w:left w:val="single" w:color="D9E2E2" w:sz="4"/>
              <w:bottom w:val="none" w:color="FFFFFF" w:sz="0"/>
              <w:right w:val="single" w:color="D9E2E2" w:sz="4"/>
            </w:tcBorders>
            <w:tcMar>
              <w:top w:type="dxa" w:w="0"/>
              <w:left w:type="dxa" w:w="170"/>
              <w:bottom w:type="dxa" w:w="0"/>
              <w:right w:type="dxa" w:w="170"/>
            </w:tcMar>
          </w:tcPr>
          <w:p>
            <w:pPr>
              <w:tabs>
                <w:tab w:val="left" w:pos="380"/>
              </w:tabs>
              <w:spacing w:after="60" w:line="264"/>
              <w:ind w:left="380" w:hanging="380"/>
            </w:pPr>
            <w:r>
              <w:rPr>
                <w:rFonts w:ascii="Inter" w:cs="Inter" w:eastAsia="Inter" w:hAnsi="Inter"/>
                <w:b/>
                <w:bCs/>
                <w:color w:val="1F4B47"/>
                <w:sz w:val="17"/>
                <w:szCs w:val="17"/>
              </w:rPr>
              <w:t xml:space="preserve">(2)</w:t>
            </w:r>
            <w:r>
              <w:rPr>
                <w:rFonts w:ascii="Inter" w:cs="Inter" w:eastAsia="Inter" w:hAnsi="Inter"/>
                <w:color w:val="222222"/>
                <w:sz w:val="17"/>
                <w:szCs w:val="17"/>
              </w:rPr>
              <w:t xml:space="preserve">	Die Haftungsbegrenzung gilt, wenn entsprechend hoher Versicherungsschutz bestanden hat, rückwirkend von Beginn des Mandatsverhältnisses bzw. dem Zeitpunkt der Höherversicherung an und erstreckt sich, wenn der Auftragsumfang nachträglich geändert oder erweitert wird, auch auf diese Fälle.</w:t>
            </w:r>
          </w:p>
        </w:tc>
        <w:tc>
          <w:tcPr>
            <w:tcW w:type="dxa" w:w="5103"/>
            <w:tcBorders>
              <w:top w:val="none" w:color="FFFFFF" w:sz="0"/>
              <w:left w:val="single" w:color="D9E2E2" w:sz="4"/>
              <w:bottom w:val="none" w:color="FFFFFF" w:sz="0"/>
              <w:right w:val="single" w:color="D9E2E2" w:sz="4"/>
            </w:tcBorders>
            <w:tcMar>
              <w:top w:type="dxa" w:w="0"/>
              <w:left w:type="dxa" w:w="170"/>
              <w:bottom w:type="dxa" w:w="0"/>
              <w:right w:type="dxa" w:w="170"/>
            </w:tcMar>
          </w:tcPr>
          <w:p>
            <w:pPr>
              <w:tabs>
                <w:tab w:val="left" w:pos="380"/>
              </w:tabs>
              <w:spacing w:after="60" w:line="264"/>
              <w:ind w:left="380" w:hanging="380"/>
            </w:pPr>
            <w:r>
              <w:rPr>
                <w:rFonts w:ascii="Inter" w:cs="Inter" w:eastAsia="Inter" w:hAnsi="Inter"/>
                <w:b/>
                <w:bCs/>
                <w:color w:val="1F4B47"/>
                <w:sz w:val="17"/>
                <w:szCs w:val="17"/>
              </w:rPr>
              <w:t xml:space="preserve">(2)</w:t>
            </w:r>
            <w:r>
              <w:rPr>
                <w:rFonts w:ascii="Inter" w:cs="Inter" w:eastAsia="Inter" w:hAnsi="Inter"/>
                <w:color w:val="222222"/>
                <w:sz w:val="17"/>
                <w:szCs w:val="17"/>
              </w:rPr>
              <w:t xml:space="preserve">	Provided that correspondingly high insurance cover existed, the limitation of liability applies retroactively from the start of the mandate or from the date of the increase in insurance cover, and, if the scope of the engagement is subsequently changed or extended, also extends to those cases.</w:t>
            </w:r>
          </w:p>
        </w:tc>
      </w:tr>
      <w:tr>
        <w:trPr>
          <w:cantSplit/>
        </w:trPr>
        <w:tc>
          <w:tcPr>
            <w:tcW w:type="dxa" w:w="5103"/>
            <w:tcBorders>
              <w:top w:val="none" w:color="FFFFFF" w:sz="0"/>
              <w:left w:val="single" w:color="D9E2E2" w:sz="4"/>
              <w:bottom w:val="none" w:color="FFFFFF" w:sz="0"/>
              <w:right w:val="single" w:color="D9E2E2" w:sz="4"/>
            </w:tcBorders>
            <w:tcMar>
              <w:top w:type="dxa" w:w="0"/>
              <w:left w:type="dxa" w:w="170"/>
              <w:bottom w:type="dxa" w:w="0"/>
              <w:right w:type="dxa" w:w="170"/>
            </w:tcMar>
          </w:tcPr>
          <w:p>
            <w:pPr>
              <w:tabs>
                <w:tab w:val="left" w:pos="380"/>
              </w:tabs>
              <w:spacing w:after="60" w:line="264"/>
              <w:ind w:left="380" w:hanging="380"/>
            </w:pPr>
            <w:r>
              <w:rPr>
                <w:rFonts w:ascii="Inter" w:cs="Inter" w:eastAsia="Inter" w:hAnsi="Inter"/>
                <w:b/>
                <w:bCs/>
                <w:color w:val="1F4B47"/>
                <w:sz w:val="17"/>
                <w:szCs w:val="17"/>
              </w:rPr>
              <w:t xml:space="preserve">(3)</w:t>
            </w:r>
            <w:r>
              <w:rPr>
                <w:rFonts w:ascii="Inter" w:cs="Inter" w:eastAsia="Inter" w:hAnsi="Inter"/>
                <w:color w:val="222222"/>
                <w:sz w:val="17"/>
                <w:szCs w:val="17"/>
              </w:rPr>
              <w:t xml:space="preserve">	Die Erteilung mündlicher Auskünfte gehört nicht zu den vertraglichen Hauptleistungspflichten des Steuerberaters. Sie bergen die Gefahr insbesondere einer unvollständigen mündlichen Darlegung des zu beurteilenden Sachverhalts sowie von Missverständnissen zwischen Steuerberater und Auftraggeber. Deshalb wird vereinbart, dass der Steuerberater nur für in Textform erteilte Auskünfte einzutreten hat und die Haftung für fahrlässig falsche mündliche Auskünfte des Steuerberaters oder seiner Mitarbeiter ausgeschlossen ist.</w:t>
            </w:r>
          </w:p>
        </w:tc>
        <w:tc>
          <w:tcPr>
            <w:tcW w:type="dxa" w:w="5103"/>
            <w:tcBorders>
              <w:top w:val="none" w:color="FFFFFF" w:sz="0"/>
              <w:left w:val="single" w:color="D9E2E2" w:sz="4"/>
              <w:bottom w:val="none" w:color="FFFFFF" w:sz="0"/>
              <w:right w:val="single" w:color="D9E2E2" w:sz="4"/>
            </w:tcBorders>
            <w:tcMar>
              <w:top w:type="dxa" w:w="0"/>
              <w:left w:type="dxa" w:w="170"/>
              <w:bottom w:type="dxa" w:w="0"/>
              <w:right w:type="dxa" w:w="170"/>
            </w:tcMar>
          </w:tcPr>
          <w:p>
            <w:pPr>
              <w:tabs>
                <w:tab w:val="left" w:pos="380"/>
              </w:tabs>
              <w:spacing w:after="60" w:line="264"/>
              <w:ind w:left="380" w:hanging="380"/>
            </w:pPr>
            <w:r>
              <w:rPr>
                <w:rFonts w:ascii="Inter" w:cs="Inter" w:eastAsia="Inter" w:hAnsi="Inter"/>
                <w:b/>
                <w:bCs/>
                <w:color w:val="1F4B47"/>
                <w:sz w:val="17"/>
                <w:szCs w:val="17"/>
              </w:rPr>
              <w:t xml:space="preserve">(3)</w:t>
            </w:r>
            <w:r>
              <w:rPr>
                <w:rFonts w:ascii="Inter" w:cs="Inter" w:eastAsia="Inter" w:hAnsi="Inter"/>
                <w:color w:val="222222"/>
                <w:sz w:val="17"/>
                <w:szCs w:val="17"/>
              </w:rPr>
              <w:t xml:space="preserve">	Providing oral information is not one of the Tax Advisor’s principal contractual obligations. Oral information carries the risk, in particular, of an incomplete oral account of the facts to be assessed and of misunderstandings between the Tax Advisor and the Client. It is therefore agreed that the Tax Advisor is only answerable for information provided in text form, and that liability for negligently incorrect oral information provided by the Tax Advisor or the Tax Advisor’s employees is excluded.</w:t>
            </w:r>
          </w:p>
        </w:tc>
      </w:tr>
      <w:tr>
        <w:trPr>
          <w:cantSplit/>
        </w:trPr>
        <w:tc>
          <w:tcPr>
            <w:tcW w:type="dxa" w:w="5103"/>
            <w:tcBorders>
              <w:top w:val="none" w:color="FFFFFF" w:sz="0"/>
              <w:left w:val="single" w:color="D9E2E2" w:sz="4"/>
              <w:bottom w:val="single" w:color="D9E2E2" w:sz="4"/>
              <w:right w:val="single" w:color="D9E2E2" w:sz="4"/>
            </w:tcBorders>
            <w:tcMar>
              <w:top w:type="dxa" w:w="0"/>
              <w:left w:type="dxa" w:w="170"/>
              <w:bottom w:type="dxa" w:w="110"/>
              <w:right w:type="dxa" w:w="170"/>
            </w:tcMar>
          </w:tcPr>
          <w:p>
            <w:pPr>
              <w:tabs>
                <w:tab w:val="left" w:pos="380"/>
              </w:tabs>
              <w:spacing w:after="60" w:line="264"/>
              <w:ind w:left="380" w:hanging="380"/>
            </w:pPr>
            <w:r>
              <w:rPr>
                <w:rFonts w:ascii="Inter" w:cs="Inter" w:eastAsia="Inter" w:hAnsi="Inter"/>
                <w:b/>
                <w:bCs/>
                <w:color w:val="1F4B47"/>
                <w:sz w:val="17"/>
                <w:szCs w:val="17"/>
              </w:rPr>
              <w:t xml:space="preserve">(4)</w:t>
            </w:r>
            <w:r>
              <w:rPr>
                <w:rFonts w:ascii="Inter" w:cs="Inter" w:eastAsia="Inter" w:hAnsi="Inter"/>
                <w:color w:val="222222"/>
                <w:sz w:val="17"/>
                <w:szCs w:val="17"/>
              </w:rPr>
              <w:t xml:space="preserve">	Schadensersatzansprüche des Auftraggebers, mit Ausnahme solcher aus der Verletzung des Lebens, des Körpers oder der Gesundheit, verjähren in 18 Monaten zum Jahresende ab Kenntnis oder grob fahrlässiger Unkenntnis des Auftraggebers von den Ansprüchen, spätestens aber in fünf Jahren zum Jahresende ab der Anspruchsentstehung. Maßgeblich ist die früher endende Frist.</w:t>
            </w:r>
          </w:p>
        </w:tc>
        <w:tc>
          <w:tcPr>
            <w:tcW w:type="dxa" w:w="5103"/>
            <w:tcBorders>
              <w:top w:val="none" w:color="FFFFFF" w:sz="0"/>
              <w:left w:val="single" w:color="D9E2E2" w:sz="4"/>
              <w:bottom w:val="single" w:color="D9E2E2" w:sz="4"/>
              <w:right w:val="single" w:color="D9E2E2" w:sz="4"/>
            </w:tcBorders>
            <w:tcMar>
              <w:top w:type="dxa" w:w="0"/>
              <w:left w:type="dxa" w:w="170"/>
              <w:bottom w:type="dxa" w:w="110"/>
              <w:right w:type="dxa" w:w="170"/>
            </w:tcMar>
          </w:tcPr>
          <w:p>
            <w:pPr>
              <w:tabs>
                <w:tab w:val="left" w:pos="380"/>
              </w:tabs>
              <w:spacing w:after="60" w:line="264"/>
              <w:ind w:left="380" w:hanging="380"/>
            </w:pPr>
            <w:r>
              <w:rPr>
                <w:rFonts w:ascii="Inter" w:cs="Inter" w:eastAsia="Inter" w:hAnsi="Inter"/>
                <w:b/>
                <w:bCs/>
                <w:color w:val="1F4B47"/>
                <w:sz w:val="17"/>
                <w:szCs w:val="17"/>
              </w:rPr>
              <w:t xml:space="preserve">(4)</w:t>
            </w:r>
            <w:r>
              <w:rPr>
                <w:rFonts w:ascii="Inter" w:cs="Inter" w:eastAsia="Inter" w:hAnsi="Inter"/>
                <w:color w:val="222222"/>
                <w:sz w:val="17"/>
                <w:szCs w:val="17"/>
              </w:rPr>
              <w:t xml:space="preserve">	Claims for damages by the Client, with the exception of those arising from injury to life, body or health, become time-barred 18 months after the end of the year in which the Client became aware, or was grossly negligent in not becoming aware, of the claims, but no later than five years after the end of the year in which the claim arose. The period ending earlier shall apply.</w:t>
            </w:r>
          </w:p>
        </w:tc>
      </w:tr>
      <w:tr>
        <w:trPr>
          <w:cantSplit/>
        </w:trPr>
        <w:tc>
          <w:tcPr>
            <w:tcW w:type="dxa" w:w="5103"/>
            <w:tcBorders>
              <w:top w:val="single" w:color="D9E2E2" w:sz="4"/>
              <w:left w:val="single" w:color="D9E2E2" w:sz="4"/>
              <w:bottom w:val="none" w:color="FFFFFF" w:sz="0"/>
              <w:right w:val="single" w:color="D9E2E2" w:sz="4"/>
            </w:tcBorders>
            <w:tcMar>
              <w:top w:type="dxa" w:w="120"/>
              <w:left w:type="dxa" w:w="170"/>
              <w:bottom w:type="dxa" w:w="0"/>
              <w:right w:type="dxa" w:w="170"/>
            </w:tcMar>
          </w:tcPr>
          <w:p>
            <w:pPr>
              <w:spacing w:after="80"/>
            </w:pPr>
            <w:r>
              <w:rPr>
                <w:rFonts w:ascii="Inter" w:cs="Inter" w:eastAsia="Inter" w:hAnsi="Inter"/>
                <w:b/>
                <w:bCs/>
                <w:color w:val="1F4B47"/>
                <w:sz w:val="19"/>
                <w:szCs w:val="19"/>
              </w:rPr>
              <w:t xml:space="preserve">7  </w:t>
            </w:r>
            <w:r>
              <w:rPr>
                <w:rFonts w:ascii="Inter" w:cs="Inter" w:eastAsia="Inter" w:hAnsi="Inter"/>
                <w:b/>
                <w:bCs/>
                <w:color w:val="123330"/>
                <w:sz w:val="19"/>
                <w:szCs w:val="19"/>
              </w:rPr>
              <w:t xml:space="preserve">Pflichten des Auftraggebers; unterlassene Mitwirkung und Annahmeverzug des Auftraggebers</w:t>
            </w:r>
          </w:p>
          <w:p>
            <w:pPr>
              <w:tabs>
                <w:tab w:val="left" w:pos="380"/>
              </w:tabs>
              <w:spacing w:after="60" w:line="264"/>
              <w:ind w:left="380" w:hanging="380"/>
            </w:pPr>
            <w:r>
              <w:rPr>
                <w:rFonts w:ascii="Inter" w:cs="Inter" w:eastAsia="Inter" w:hAnsi="Inter"/>
                <w:b/>
                <w:bCs/>
                <w:color w:val="1F4B47"/>
                <w:sz w:val="17"/>
                <w:szCs w:val="17"/>
              </w:rPr>
              <w:t xml:space="preserve">(1)</w:t>
            </w:r>
            <w:r>
              <w:rPr>
                <w:rFonts w:ascii="Inter" w:cs="Inter" w:eastAsia="Inter" w:hAnsi="Inter"/>
                <w:color w:val="222222"/>
                <w:sz w:val="17"/>
                <w:szCs w:val="17"/>
              </w:rPr>
              <w:t xml:space="preserve">	Der Auftraggeber ist zur Mitwirkung verpflichtet, soweit es zur ordnungsgemäßen Erledigung des Auftrags erforderlich ist. Insbesondere hat er dem Steuerberater unaufgefordert alle für die Ausführung des Auftrags notwendigen Unterlagen vollständig und so rechtzeitig zu übergeben, dass dem Steuerberater eine angemessene Bearbeitungszeit zur Verfügung steht. Entsprechendes gilt für die Unterrichtung über alle Vorgänge und Umstände, die für die Ausführung des Auftrags von Bedeutung sein können. Der Auftraggeber ist verpflichtet, alle Mitteilungen des Steuerberaters zur Kenntnis zu nehmen und bei Zweifelsfragen Rücksprache zu halten.</w:t>
            </w:r>
          </w:p>
        </w:tc>
        <w:tc>
          <w:tcPr>
            <w:tcW w:type="dxa" w:w="5103"/>
            <w:tcBorders>
              <w:top w:val="single" w:color="D9E2E2" w:sz="4"/>
              <w:left w:val="single" w:color="D9E2E2" w:sz="4"/>
              <w:bottom w:val="none" w:color="FFFFFF" w:sz="0"/>
              <w:right w:val="single" w:color="D9E2E2" w:sz="4"/>
            </w:tcBorders>
            <w:tcMar>
              <w:top w:type="dxa" w:w="120"/>
              <w:left w:type="dxa" w:w="170"/>
              <w:bottom w:type="dxa" w:w="0"/>
              <w:right w:type="dxa" w:w="170"/>
            </w:tcMar>
          </w:tcPr>
          <w:p>
            <w:pPr>
              <w:spacing w:after="80"/>
            </w:pPr>
            <w:r>
              <w:rPr>
                <w:rFonts w:ascii="Inter" w:cs="Inter" w:eastAsia="Inter" w:hAnsi="Inter"/>
                <w:b/>
                <w:bCs/>
                <w:color w:val="1F4B47"/>
                <w:sz w:val="19"/>
                <w:szCs w:val="19"/>
              </w:rPr>
              <w:t xml:space="preserve">7  </w:t>
            </w:r>
            <w:r>
              <w:rPr>
                <w:rFonts w:ascii="Inter" w:cs="Inter" w:eastAsia="Inter" w:hAnsi="Inter"/>
                <w:b/>
                <w:bCs/>
                <w:color w:val="123330"/>
                <w:sz w:val="19"/>
                <w:szCs w:val="19"/>
              </w:rPr>
              <w:t xml:space="preserve">Obligations of the Client; Failure to Cooperate and Default in Acceptance by the Client</w:t>
            </w:r>
          </w:p>
          <w:p>
            <w:pPr>
              <w:tabs>
                <w:tab w:val="left" w:pos="380"/>
              </w:tabs>
              <w:spacing w:after="60" w:line="264"/>
              <w:ind w:left="380" w:hanging="380"/>
            </w:pPr>
            <w:r>
              <w:rPr>
                <w:rFonts w:ascii="Inter" w:cs="Inter" w:eastAsia="Inter" w:hAnsi="Inter"/>
                <w:b/>
                <w:bCs/>
                <w:color w:val="1F4B47"/>
                <w:sz w:val="17"/>
                <w:szCs w:val="17"/>
              </w:rPr>
              <w:t xml:space="preserve">(1)</w:t>
            </w:r>
            <w:r>
              <w:rPr>
                <w:rFonts w:ascii="Inter" w:cs="Inter" w:eastAsia="Inter" w:hAnsi="Inter"/>
                <w:color w:val="222222"/>
                <w:sz w:val="17"/>
                <w:szCs w:val="17"/>
              </w:rPr>
              <w:t xml:space="preserve">	The Client is obliged to cooperate to the extent necessary for the proper performance of the engagement. In particular, the Client must, without being asked, hand over to the Tax Advisor all documents required for performing the engagement, completely and in such good time that the Tax Advisor has a reasonable processing period. The same applies to informing the Tax Advisor of all events and circumstances that may be relevant to performing the engagement. The Client is obliged to take note of all communications from the Tax Advisor and to consult the Tax Advisor in case of doubt.</w:t>
            </w:r>
          </w:p>
        </w:tc>
      </w:tr>
      <w:tr>
        <w:trPr>
          <w:cantSplit/>
        </w:trPr>
        <w:tc>
          <w:tcPr>
            <w:tcW w:type="dxa" w:w="5103"/>
            <w:tcBorders>
              <w:top w:val="none" w:color="FFFFFF" w:sz="0"/>
              <w:left w:val="single" w:color="D9E2E2" w:sz="4"/>
              <w:bottom w:val="none" w:color="FFFFFF" w:sz="0"/>
              <w:right w:val="single" w:color="D9E2E2" w:sz="4"/>
            </w:tcBorders>
            <w:tcMar>
              <w:top w:type="dxa" w:w="0"/>
              <w:left w:type="dxa" w:w="170"/>
              <w:bottom w:type="dxa" w:w="0"/>
              <w:right w:type="dxa" w:w="170"/>
            </w:tcMar>
          </w:tcPr>
          <w:p>
            <w:pPr>
              <w:tabs>
                <w:tab w:val="left" w:pos="380"/>
              </w:tabs>
              <w:spacing w:after="60" w:line="264"/>
              <w:ind w:left="380" w:hanging="380"/>
            </w:pPr>
            <w:r>
              <w:rPr>
                <w:rFonts w:ascii="Inter" w:cs="Inter" w:eastAsia="Inter" w:hAnsi="Inter"/>
                <w:b/>
                <w:bCs/>
                <w:color w:val="1F4B47"/>
                <w:sz w:val="17"/>
                <w:szCs w:val="17"/>
              </w:rPr>
              <w:t xml:space="preserve">(2)</w:t>
            </w:r>
            <w:r>
              <w:rPr>
                <w:rFonts w:ascii="Inter" w:cs="Inter" w:eastAsia="Inter" w:hAnsi="Inter"/>
                <w:color w:val="222222"/>
                <w:sz w:val="17"/>
                <w:szCs w:val="17"/>
              </w:rPr>
              <w:t xml:space="preserve">	Der Auftraggeber hat alles zu unterlassen, was die Unabhängigkeit des Steuerberaters oder seiner Erfüllungsgehilfen beeinträchtigen könnte.</w:t>
            </w:r>
          </w:p>
        </w:tc>
        <w:tc>
          <w:tcPr>
            <w:tcW w:type="dxa" w:w="5103"/>
            <w:tcBorders>
              <w:top w:val="none" w:color="FFFFFF" w:sz="0"/>
              <w:left w:val="single" w:color="D9E2E2" w:sz="4"/>
              <w:bottom w:val="none" w:color="FFFFFF" w:sz="0"/>
              <w:right w:val="single" w:color="D9E2E2" w:sz="4"/>
            </w:tcBorders>
            <w:tcMar>
              <w:top w:type="dxa" w:w="0"/>
              <w:left w:type="dxa" w:w="170"/>
              <w:bottom w:type="dxa" w:w="0"/>
              <w:right w:type="dxa" w:w="170"/>
            </w:tcMar>
          </w:tcPr>
          <w:p>
            <w:pPr>
              <w:tabs>
                <w:tab w:val="left" w:pos="380"/>
              </w:tabs>
              <w:spacing w:after="60" w:line="264"/>
              <w:ind w:left="380" w:hanging="380"/>
            </w:pPr>
            <w:r>
              <w:rPr>
                <w:rFonts w:ascii="Inter" w:cs="Inter" w:eastAsia="Inter" w:hAnsi="Inter"/>
                <w:b/>
                <w:bCs/>
                <w:color w:val="1F4B47"/>
                <w:sz w:val="17"/>
                <w:szCs w:val="17"/>
              </w:rPr>
              <w:t xml:space="preserve">(2)</w:t>
            </w:r>
            <w:r>
              <w:rPr>
                <w:rFonts w:ascii="Inter" w:cs="Inter" w:eastAsia="Inter" w:hAnsi="Inter"/>
                <w:color w:val="222222"/>
                <w:sz w:val="17"/>
                <w:szCs w:val="17"/>
              </w:rPr>
              <w:t xml:space="preserve">	The Client shall refrain from anything that could impair the independence of the Tax Advisor or the Tax Advisor’s vicarious agents.</w:t>
            </w:r>
          </w:p>
        </w:tc>
      </w:tr>
      <w:tr>
        <w:trPr>
          <w:cantSplit/>
        </w:trPr>
        <w:tc>
          <w:tcPr>
            <w:tcW w:type="dxa" w:w="5103"/>
            <w:tcBorders>
              <w:top w:val="none" w:color="FFFFFF" w:sz="0"/>
              <w:left w:val="single" w:color="D9E2E2" w:sz="4"/>
              <w:bottom w:val="none" w:color="FFFFFF" w:sz="0"/>
              <w:right w:val="single" w:color="D9E2E2" w:sz="4"/>
            </w:tcBorders>
            <w:tcMar>
              <w:top w:type="dxa" w:w="0"/>
              <w:left w:type="dxa" w:w="170"/>
              <w:bottom w:type="dxa" w:w="0"/>
              <w:right w:type="dxa" w:w="170"/>
            </w:tcMar>
          </w:tcPr>
          <w:p>
            <w:pPr>
              <w:tabs>
                <w:tab w:val="left" w:pos="380"/>
              </w:tabs>
              <w:spacing w:after="60" w:line="264"/>
              <w:ind w:left="380" w:hanging="380"/>
            </w:pPr>
            <w:r>
              <w:rPr>
                <w:rFonts w:ascii="Inter" w:cs="Inter" w:eastAsia="Inter" w:hAnsi="Inter"/>
                <w:b/>
                <w:bCs/>
                <w:color w:val="1F4B47"/>
                <w:sz w:val="17"/>
                <w:szCs w:val="17"/>
              </w:rPr>
              <w:t xml:space="preserve">(3)</w:t>
            </w:r>
            <w:r>
              <w:rPr>
                <w:rFonts w:ascii="Inter" w:cs="Inter" w:eastAsia="Inter" w:hAnsi="Inter"/>
                <w:color w:val="222222"/>
                <w:sz w:val="17"/>
                <w:szCs w:val="17"/>
              </w:rPr>
              <w:t xml:space="preserve">	Der Auftraggeber verpflichtet sich, Arbeitsergebnisse des Steuerberaters nur mit dessen Einwilligung weiterzugeben, soweit sich nicht bereits aus dem Auftragsinhalt die Einwilligung zur Weitergabe an einen bestimmten Dritten ergibt.</w:t>
            </w:r>
          </w:p>
        </w:tc>
        <w:tc>
          <w:tcPr>
            <w:tcW w:type="dxa" w:w="5103"/>
            <w:tcBorders>
              <w:top w:val="none" w:color="FFFFFF" w:sz="0"/>
              <w:left w:val="single" w:color="D9E2E2" w:sz="4"/>
              <w:bottom w:val="none" w:color="FFFFFF" w:sz="0"/>
              <w:right w:val="single" w:color="D9E2E2" w:sz="4"/>
            </w:tcBorders>
            <w:tcMar>
              <w:top w:type="dxa" w:w="0"/>
              <w:left w:type="dxa" w:w="170"/>
              <w:bottom w:type="dxa" w:w="0"/>
              <w:right w:type="dxa" w:w="170"/>
            </w:tcMar>
          </w:tcPr>
          <w:p>
            <w:pPr>
              <w:tabs>
                <w:tab w:val="left" w:pos="380"/>
              </w:tabs>
              <w:spacing w:after="60" w:line="264"/>
              <w:ind w:left="380" w:hanging="380"/>
            </w:pPr>
            <w:r>
              <w:rPr>
                <w:rFonts w:ascii="Inter" w:cs="Inter" w:eastAsia="Inter" w:hAnsi="Inter"/>
                <w:b/>
                <w:bCs/>
                <w:color w:val="1F4B47"/>
                <w:sz w:val="17"/>
                <w:szCs w:val="17"/>
              </w:rPr>
              <w:t xml:space="preserve">(3)</w:t>
            </w:r>
            <w:r>
              <w:rPr>
                <w:rFonts w:ascii="Inter" w:cs="Inter" w:eastAsia="Inter" w:hAnsi="Inter"/>
                <w:color w:val="222222"/>
                <w:sz w:val="17"/>
                <w:szCs w:val="17"/>
              </w:rPr>
              <w:t xml:space="preserve">	The Client undertakes to pass on the Tax Advisor’s work results only with the Tax Advisor’s consent, unless consent to pass them on to a specific third party already follows from the content of the engagement.</w:t>
            </w:r>
          </w:p>
        </w:tc>
      </w:tr>
      <w:tr>
        <w:trPr>
          <w:cantSplit/>
        </w:trPr>
        <w:tc>
          <w:tcPr>
            <w:tcW w:type="dxa" w:w="5103"/>
            <w:tcBorders>
              <w:top w:val="none" w:color="FFFFFF" w:sz="0"/>
              <w:left w:val="single" w:color="D9E2E2" w:sz="4"/>
              <w:bottom w:val="none" w:color="FFFFFF" w:sz="0"/>
              <w:right w:val="single" w:color="D9E2E2" w:sz="4"/>
            </w:tcBorders>
            <w:tcMar>
              <w:top w:type="dxa" w:w="0"/>
              <w:left w:type="dxa" w:w="170"/>
              <w:bottom w:type="dxa" w:w="0"/>
              <w:right w:type="dxa" w:w="170"/>
            </w:tcMar>
          </w:tcPr>
          <w:p>
            <w:pPr>
              <w:tabs>
                <w:tab w:val="left" w:pos="380"/>
              </w:tabs>
              <w:spacing w:after="60" w:line="264"/>
              <w:ind w:left="380" w:hanging="380"/>
            </w:pPr>
            <w:r>
              <w:rPr>
                <w:rFonts w:ascii="Inter" w:cs="Inter" w:eastAsia="Inter" w:hAnsi="Inter"/>
                <w:b/>
                <w:bCs/>
                <w:color w:val="1F4B47"/>
                <w:sz w:val="17"/>
                <w:szCs w:val="17"/>
              </w:rPr>
              <w:t xml:space="preserve">(4)</w:t>
            </w:r>
            <w:r>
              <w:rPr>
                <w:rFonts w:ascii="Inter" w:cs="Inter" w:eastAsia="Inter" w:hAnsi="Inter"/>
                <w:color w:val="222222"/>
                <w:sz w:val="17"/>
                <w:szCs w:val="17"/>
              </w:rPr>
              <w:t xml:space="preserve">	Setzt der Steuerberater beim Auftraggeber Datenverarbeitungsprogramme ein, so ist der Auftraggeber verpflichtet, den Hinweisen des Steuerberaters zur Installation und Anwendung der Programme nachzukommen. Des Weiteren ist der Auftraggeber verpflichtet, die Programme nur in dem vom Steuerberater vorgeschriebenen Umfang zu nutzen, und er ist auch nur in dem Umfang zur Nutzung berechtigt. Der Auftraggeber darf die Programme nicht verbreiten. Der Steuerberater bleibt Inhaber der Nutzungsrechte. Der Auftraggeber hat alles zu unterlassen, was der Ausübung der Nutzungsrechte an den Programmen durch den Steuerberater entgegensteht.</w:t>
            </w:r>
          </w:p>
        </w:tc>
        <w:tc>
          <w:tcPr>
            <w:tcW w:type="dxa" w:w="5103"/>
            <w:tcBorders>
              <w:top w:val="none" w:color="FFFFFF" w:sz="0"/>
              <w:left w:val="single" w:color="D9E2E2" w:sz="4"/>
              <w:bottom w:val="none" w:color="FFFFFF" w:sz="0"/>
              <w:right w:val="single" w:color="D9E2E2" w:sz="4"/>
            </w:tcBorders>
            <w:tcMar>
              <w:top w:type="dxa" w:w="0"/>
              <w:left w:type="dxa" w:w="170"/>
              <w:bottom w:type="dxa" w:w="0"/>
              <w:right w:type="dxa" w:w="170"/>
            </w:tcMar>
          </w:tcPr>
          <w:p>
            <w:pPr>
              <w:tabs>
                <w:tab w:val="left" w:pos="380"/>
              </w:tabs>
              <w:spacing w:after="60" w:line="264"/>
              <w:ind w:left="380" w:hanging="380"/>
            </w:pPr>
            <w:r>
              <w:rPr>
                <w:rFonts w:ascii="Inter" w:cs="Inter" w:eastAsia="Inter" w:hAnsi="Inter"/>
                <w:b/>
                <w:bCs/>
                <w:color w:val="1F4B47"/>
                <w:sz w:val="17"/>
                <w:szCs w:val="17"/>
              </w:rPr>
              <w:t xml:space="preserve">(4)</w:t>
            </w:r>
            <w:r>
              <w:rPr>
                <w:rFonts w:ascii="Inter" w:cs="Inter" w:eastAsia="Inter" w:hAnsi="Inter"/>
                <w:color w:val="222222"/>
                <w:sz w:val="17"/>
                <w:szCs w:val="17"/>
              </w:rPr>
              <w:t xml:space="preserve">	If the Tax Advisor uses data processing programs at the Client’s premises, the Client is obliged to follow the Tax Advisor’s instructions on installing and using the programs. Furthermore, the Client is obliged to use the programs only to the extent specified by the Tax Advisor and is entitled to use them only to that extent. The Client may not distribute the programs. The Tax Advisor remains the holder of the rights of use. The Client shall refrain from anything that conflicts with the Tax Advisor’s exercise of the rights of use in the programs.</w:t>
            </w:r>
          </w:p>
        </w:tc>
      </w:tr>
      <w:tr>
        <w:trPr>
          <w:cantSplit/>
        </w:trPr>
        <w:tc>
          <w:tcPr>
            <w:tcW w:type="dxa" w:w="5103"/>
            <w:tcBorders>
              <w:top w:val="none" w:color="FFFFFF" w:sz="0"/>
              <w:left w:val="single" w:color="D9E2E2" w:sz="4"/>
              <w:bottom w:val="single" w:color="D9E2E2" w:sz="4"/>
              <w:right w:val="single" w:color="D9E2E2" w:sz="4"/>
            </w:tcBorders>
            <w:tcMar>
              <w:top w:type="dxa" w:w="0"/>
              <w:left w:type="dxa" w:w="170"/>
              <w:bottom w:type="dxa" w:w="110"/>
              <w:right w:type="dxa" w:w="170"/>
            </w:tcMar>
          </w:tcPr>
          <w:p>
            <w:pPr>
              <w:tabs>
                <w:tab w:val="left" w:pos="380"/>
              </w:tabs>
              <w:spacing w:after="60" w:line="264"/>
              <w:ind w:left="380" w:hanging="380"/>
            </w:pPr>
            <w:r>
              <w:rPr>
                <w:rFonts w:ascii="Inter" w:cs="Inter" w:eastAsia="Inter" w:hAnsi="Inter"/>
                <w:b/>
                <w:bCs/>
                <w:color w:val="1F4B47"/>
                <w:sz w:val="17"/>
                <w:szCs w:val="17"/>
              </w:rPr>
              <w:t xml:space="preserve">(5)</w:t>
            </w:r>
            <w:r>
              <w:rPr>
                <w:rFonts w:ascii="Inter" w:cs="Inter" w:eastAsia="Inter" w:hAnsi="Inter"/>
                <w:color w:val="222222"/>
                <w:sz w:val="17"/>
                <w:szCs w:val="17"/>
              </w:rPr>
              <w:t xml:space="preserve">	Unterlässt der Auftraggeber eine ihm nach Ziff. 7 Abs. 1 bis 4 oder anderweitig obliegende Mitwirkung oder kommt er mit der Annahme der vom Steuerberater angebotenen Leistung in Verzug, so ist der Steuerberater berechtigt, den Vertrag fristlos zu kündigen. Unberührt bleibt der Anspruch des Steuerberaters auf Ersatz der ihm durch den Verzug oder die unterlassene Mitwirkung des Auftraggebers entstandenen Mehraufwendungen sowie des verursachten Schadens, und zwar auch dann, wenn der Steuerberater von dem Kündigungsrecht keinen Gebrauch macht.</w:t>
            </w:r>
          </w:p>
        </w:tc>
        <w:tc>
          <w:tcPr>
            <w:tcW w:type="dxa" w:w="5103"/>
            <w:tcBorders>
              <w:top w:val="none" w:color="FFFFFF" w:sz="0"/>
              <w:left w:val="single" w:color="D9E2E2" w:sz="4"/>
              <w:bottom w:val="single" w:color="D9E2E2" w:sz="4"/>
              <w:right w:val="single" w:color="D9E2E2" w:sz="4"/>
            </w:tcBorders>
            <w:tcMar>
              <w:top w:type="dxa" w:w="0"/>
              <w:left w:type="dxa" w:w="170"/>
              <w:bottom w:type="dxa" w:w="110"/>
              <w:right w:type="dxa" w:w="170"/>
            </w:tcMar>
          </w:tcPr>
          <w:p>
            <w:pPr>
              <w:tabs>
                <w:tab w:val="left" w:pos="380"/>
              </w:tabs>
              <w:spacing w:after="60" w:line="264"/>
              <w:ind w:left="380" w:hanging="380"/>
            </w:pPr>
            <w:r>
              <w:rPr>
                <w:rFonts w:ascii="Inter" w:cs="Inter" w:eastAsia="Inter" w:hAnsi="Inter"/>
                <w:b/>
                <w:bCs/>
                <w:color w:val="1F4B47"/>
                <w:sz w:val="17"/>
                <w:szCs w:val="17"/>
              </w:rPr>
              <w:t xml:space="preserve">(5)</w:t>
            </w:r>
            <w:r>
              <w:rPr>
                <w:rFonts w:ascii="Inter" w:cs="Inter" w:eastAsia="Inter" w:hAnsi="Inter"/>
                <w:color w:val="222222"/>
                <w:sz w:val="17"/>
                <w:szCs w:val="17"/>
              </w:rPr>
              <w:t xml:space="preserve">	If the Client fails to provide cooperation incumbent upon the Client under Section 7 (1) to (4) or otherwise, or is in default of accepting the services offered by the Tax Advisor, the Tax Advisor is entitled to terminate the contract without notice. The Tax Advisor’s claim for compensation for additional expenses incurred as a result of the Client’s default or failure to cooperate, and for the damage caused, remains unaffected, even if the Tax Advisor does not exercise the right of termination.</w:t>
            </w:r>
          </w:p>
        </w:tc>
      </w:tr>
      <w:tr>
        <w:trPr>
          <w:cantSplit/>
        </w:trPr>
        <w:tc>
          <w:tcPr>
            <w:tcW w:type="dxa" w:w="5103"/>
            <w:tcBorders>
              <w:top w:val="single" w:color="D9E2E2" w:sz="4"/>
              <w:left w:val="single" w:color="D9E2E2" w:sz="4"/>
              <w:bottom w:val="single" w:color="D9E2E2" w:sz="4"/>
              <w:right w:val="single" w:color="D9E2E2" w:sz="4"/>
            </w:tcBorders>
            <w:tcMar>
              <w:top w:type="dxa" w:w="120"/>
              <w:left w:type="dxa" w:w="170"/>
              <w:bottom w:type="dxa" w:w="110"/>
              <w:right w:type="dxa" w:w="170"/>
            </w:tcMar>
          </w:tcPr>
          <w:p>
            <w:pPr>
              <w:spacing w:after="80"/>
            </w:pPr>
            <w:r>
              <w:rPr>
                <w:rFonts w:ascii="Inter" w:cs="Inter" w:eastAsia="Inter" w:hAnsi="Inter"/>
                <w:b/>
                <w:bCs/>
                <w:color w:val="1F4B47"/>
                <w:sz w:val="19"/>
                <w:szCs w:val="19"/>
              </w:rPr>
              <w:t xml:space="preserve">8  </w:t>
            </w:r>
            <w:r>
              <w:rPr>
                <w:rFonts w:ascii="Inter" w:cs="Inter" w:eastAsia="Inter" w:hAnsi="Inter"/>
                <w:b/>
                <w:bCs/>
                <w:color w:val="123330"/>
                <w:sz w:val="19"/>
                <w:szCs w:val="19"/>
              </w:rPr>
              <w:t xml:space="preserve">Urheberrechtsschutz</w:t>
            </w:r>
          </w:p>
          <w:p>
            <w:pPr>
              <w:spacing w:after="60" w:line="264"/>
            </w:pPr>
            <w:r>
              <w:rPr>
                <w:rFonts w:ascii="Inter" w:cs="Inter" w:eastAsia="Inter" w:hAnsi="Inter"/>
                <w:color w:val="222222"/>
                <w:sz w:val="17"/>
                <w:szCs w:val="17"/>
              </w:rPr>
              <w:t xml:space="preserve">Die Leistungen des Steuerberaters stellen dessen geistiges Eigentum dar. Sie sind urheberrechtlich geschützt. Eine Weitergabe von Arbeitsergebnissen außerhalb der bestimmungsgemäßen Verwendung ist nur mit vorheriger Zustimmung des Steuerberaters in Textform zulässig.</w:t>
            </w:r>
          </w:p>
        </w:tc>
        <w:tc>
          <w:tcPr>
            <w:tcW w:type="dxa" w:w="5103"/>
            <w:tcBorders>
              <w:top w:val="single" w:color="D9E2E2" w:sz="4"/>
              <w:left w:val="single" w:color="D9E2E2" w:sz="4"/>
              <w:bottom w:val="single" w:color="D9E2E2" w:sz="4"/>
              <w:right w:val="single" w:color="D9E2E2" w:sz="4"/>
            </w:tcBorders>
            <w:tcMar>
              <w:top w:type="dxa" w:w="120"/>
              <w:left w:type="dxa" w:w="170"/>
              <w:bottom w:type="dxa" w:w="110"/>
              <w:right w:type="dxa" w:w="170"/>
            </w:tcMar>
          </w:tcPr>
          <w:p>
            <w:pPr>
              <w:spacing w:after="80"/>
            </w:pPr>
            <w:r>
              <w:rPr>
                <w:rFonts w:ascii="Inter" w:cs="Inter" w:eastAsia="Inter" w:hAnsi="Inter"/>
                <w:b/>
                <w:bCs/>
                <w:color w:val="1F4B47"/>
                <w:sz w:val="19"/>
                <w:szCs w:val="19"/>
              </w:rPr>
              <w:t xml:space="preserve">8  </w:t>
            </w:r>
            <w:r>
              <w:rPr>
                <w:rFonts w:ascii="Inter" w:cs="Inter" w:eastAsia="Inter" w:hAnsi="Inter"/>
                <w:b/>
                <w:bCs/>
                <w:color w:val="123330"/>
                <w:sz w:val="19"/>
                <w:szCs w:val="19"/>
              </w:rPr>
              <w:t xml:space="preserve">Copyright Protection</w:t>
            </w:r>
          </w:p>
          <w:p>
            <w:pPr>
              <w:spacing w:after="60" w:line="264"/>
            </w:pPr>
            <w:r>
              <w:rPr>
                <w:rFonts w:ascii="Inter" w:cs="Inter" w:eastAsia="Inter" w:hAnsi="Inter"/>
                <w:color w:val="222222"/>
                <w:sz w:val="17"/>
                <w:szCs w:val="17"/>
              </w:rPr>
              <w:t xml:space="preserve">The Tax Advisor’s services constitute the Tax Advisor’s intellectual property. They are protected by copyright. Passing on work results beyond their intended use is only permitted with the Tax Advisor’s prior consent in text form.</w:t>
            </w:r>
          </w:p>
        </w:tc>
      </w:tr>
      <w:tr>
        <w:trPr>
          <w:cantSplit/>
        </w:trPr>
        <w:tc>
          <w:tcPr>
            <w:tcW w:type="dxa" w:w="5103"/>
            <w:tcBorders>
              <w:top w:val="single" w:color="D9E2E2" w:sz="4"/>
              <w:left w:val="single" w:color="D9E2E2" w:sz="4"/>
              <w:bottom w:val="none" w:color="FFFFFF" w:sz="0"/>
              <w:right w:val="single" w:color="D9E2E2" w:sz="4"/>
            </w:tcBorders>
            <w:tcMar>
              <w:top w:type="dxa" w:w="120"/>
              <w:left w:type="dxa" w:w="170"/>
              <w:bottom w:type="dxa" w:w="0"/>
              <w:right w:type="dxa" w:w="170"/>
            </w:tcMar>
          </w:tcPr>
          <w:p>
            <w:pPr>
              <w:spacing w:after="80"/>
            </w:pPr>
            <w:r>
              <w:rPr>
                <w:rFonts w:ascii="Inter" w:cs="Inter" w:eastAsia="Inter" w:hAnsi="Inter"/>
                <w:b/>
                <w:bCs/>
                <w:color w:val="1F4B47"/>
                <w:sz w:val="19"/>
                <w:szCs w:val="19"/>
              </w:rPr>
              <w:t xml:space="preserve">9  </w:t>
            </w:r>
            <w:r>
              <w:rPr>
                <w:rFonts w:ascii="Inter" w:cs="Inter" w:eastAsia="Inter" w:hAnsi="Inter"/>
                <w:b/>
                <w:bCs/>
                <w:color w:val="123330"/>
                <w:sz w:val="19"/>
                <w:szCs w:val="19"/>
              </w:rPr>
              <w:t xml:space="preserve">Vergütung, Vorschuss und Aufrechnung</w:t>
            </w:r>
          </w:p>
          <w:p>
            <w:pPr>
              <w:tabs>
                <w:tab w:val="left" w:pos="380"/>
              </w:tabs>
              <w:spacing w:after="60" w:line="264"/>
              <w:ind w:left="380" w:hanging="380"/>
            </w:pPr>
            <w:r>
              <w:rPr>
                <w:rFonts w:ascii="Inter" w:cs="Inter" w:eastAsia="Inter" w:hAnsi="Inter"/>
                <w:b/>
                <w:bCs/>
                <w:color w:val="1F4B47"/>
                <w:sz w:val="17"/>
                <w:szCs w:val="17"/>
              </w:rPr>
              <w:t xml:space="preserve">(1)</w:t>
            </w:r>
            <w:r>
              <w:rPr>
                <w:rFonts w:ascii="Inter" w:cs="Inter" w:eastAsia="Inter" w:hAnsi="Inter"/>
                <w:color w:val="222222"/>
                <w:sz w:val="17"/>
                <w:szCs w:val="17"/>
              </w:rPr>
              <w:t xml:space="preserve">	Die Vergütung (Gebühren und Auslagenersatz) des Steuerberaters für seine Berufstätigkeit nach § 33 StBerG bemisst sich nach der Steuerberatervergütungsverordnung (StBVV). Eine höhere oder niedrigere als die gesetzliche Vergütung kann in Textform vereinbart werden. Die Vereinbarung einer niedrigeren Vergütung ist nur in außergerichtlichen Angelegenheiten zulässig. Sie muss in einem angemessenen Verhältnis zu der Leistung, der Verantwortung und dem Haftungsrisiko des Steuerberaters stehen.</w:t>
            </w:r>
          </w:p>
        </w:tc>
        <w:tc>
          <w:tcPr>
            <w:tcW w:type="dxa" w:w="5103"/>
            <w:tcBorders>
              <w:top w:val="single" w:color="D9E2E2" w:sz="4"/>
              <w:left w:val="single" w:color="D9E2E2" w:sz="4"/>
              <w:bottom w:val="none" w:color="FFFFFF" w:sz="0"/>
              <w:right w:val="single" w:color="D9E2E2" w:sz="4"/>
            </w:tcBorders>
            <w:tcMar>
              <w:top w:type="dxa" w:w="120"/>
              <w:left w:type="dxa" w:w="170"/>
              <w:bottom w:type="dxa" w:w="0"/>
              <w:right w:type="dxa" w:w="170"/>
            </w:tcMar>
          </w:tcPr>
          <w:p>
            <w:pPr>
              <w:spacing w:after="80"/>
            </w:pPr>
            <w:r>
              <w:rPr>
                <w:rFonts w:ascii="Inter" w:cs="Inter" w:eastAsia="Inter" w:hAnsi="Inter"/>
                <w:b/>
                <w:bCs/>
                <w:color w:val="1F4B47"/>
                <w:sz w:val="19"/>
                <w:szCs w:val="19"/>
              </w:rPr>
              <w:t xml:space="preserve">9  </w:t>
            </w:r>
            <w:r>
              <w:rPr>
                <w:rFonts w:ascii="Inter" w:cs="Inter" w:eastAsia="Inter" w:hAnsi="Inter"/>
                <w:b/>
                <w:bCs/>
                <w:color w:val="123330"/>
                <w:sz w:val="19"/>
                <w:szCs w:val="19"/>
              </w:rPr>
              <w:t xml:space="preserve">Remuneration, Advance Payment and Set-off</w:t>
            </w:r>
          </w:p>
          <w:p>
            <w:pPr>
              <w:tabs>
                <w:tab w:val="left" w:pos="380"/>
              </w:tabs>
              <w:spacing w:after="60" w:line="264"/>
              <w:ind w:left="380" w:hanging="380"/>
            </w:pPr>
            <w:r>
              <w:rPr>
                <w:rFonts w:ascii="Inter" w:cs="Inter" w:eastAsia="Inter" w:hAnsi="Inter"/>
                <w:b/>
                <w:bCs/>
                <w:color w:val="1F4B47"/>
                <w:sz w:val="17"/>
                <w:szCs w:val="17"/>
              </w:rPr>
              <w:t xml:space="preserve">(1)</w:t>
            </w:r>
            <w:r>
              <w:rPr>
                <w:rFonts w:ascii="Inter" w:cs="Inter" w:eastAsia="Inter" w:hAnsi="Inter"/>
                <w:color w:val="222222"/>
                <w:sz w:val="17"/>
                <w:szCs w:val="17"/>
              </w:rPr>
              <w:t xml:space="preserve">	The remuneration (fees and reimbursement of expenses) of the Tax Advisor for professional activities under § 33 StBerG is determined in accordance with the German Tax Advisors’ Remuneration Ordinance (StBVV). Remuneration higher or lower than the statutory remuneration may be agreed in text form. Agreeing lower remuneration is only permitted in out-of-court matters. It must be in reasonable proportion to the service, responsibility and liability risk of the Tax Advisor.</w:t>
            </w:r>
          </w:p>
        </w:tc>
      </w:tr>
      <w:tr>
        <w:trPr>
          <w:cantSplit/>
        </w:trPr>
        <w:tc>
          <w:tcPr>
            <w:tcW w:type="dxa" w:w="5103"/>
            <w:tcBorders>
              <w:top w:val="none" w:color="FFFFFF" w:sz="0"/>
              <w:left w:val="single" w:color="D9E2E2" w:sz="4"/>
              <w:bottom w:val="none" w:color="FFFFFF" w:sz="0"/>
              <w:right w:val="single" w:color="D9E2E2" w:sz="4"/>
            </w:tcBorders>
            <w:tcMar>
              <w:top w:type="dxa" w:w="0"/>
              <w:left w:type="dxa" w:w="170"/>
              <w:bottom w:type="dxa" w:w="0"/>
              <w:right w:type="dxa" w:w="170"/>
            </w:tcMar>
          </w:tcPr>
          <w:p>
            <w:pPr>
              <w:tabs>
                <w:tab w:val="left" w:pos="380"/>
              </w:tabs>
              <w:spacing w:after="60" w:line="264"/>
              <w:ind w:left="380" w:hanging="380"/>
            </w:pPr>
            <w:r>
              <w:rPr>
                <w:rFonts w:ascii="Inter" w:cs="Inter" w:eastAsia="Inter" w:hAnsi="Inter"/>
                <w:b/>
                <w:bCs/>
                <w:color w:val="1F4B47"/>
                <w:sz w:val="17"/>
                <w:szCs w:val="17"/>
              </w:rPr>
              <w:t xml:space="preserve">(2)</w:t>
            </w:r>
            <w:r>
              <w:rPr>
                <w:rFonts w:ascii="Inter" w:cs="Inter" w:eastAsia="Inter" w:hAnsi="Inter"/>
                <w:color w:val="222222"/>
                <w:sz w:val="17"/>
                <w:szCs w:val="17"/>
              </w:rPr>
              <w:t xml:space="preserve">	Für Tätigkeiten, die in der StBVV keine Regelung erfahren (z. B. § 57 Abs. 3 Nrn. 2 und 3 StBerG), gilt die vereinbarte Vergütung, anderenfalls die für diese Tätigkeit vorgesehene gesetzliche Vergütung, ansonsten die übliche Vergütung (§§ 612 Abs. 2 und 632 Abs. 2 BGB).</w:t>
            </w:r>
          </w:p>
        </w:tc>
        <w:tc>
          <w:tcPr>
            <w:tcW w:type="dxa" w:w="5103"/>
            <w:tcBorders>
              <w:top w:val="none" w:color="FFFFFF" w:sz="0"/>
              <w:left w:val="single" w:color="D9E2E2" w:sz="4"/>
              <w:bottom w:val="none" w:color="FFFFFF" w:sz="0"/>
              <w:right w:val="single" w:color="D9E2E2" w:sz="4"/>
            </w:tcBorders>
            <w:tcMar>
              <w:top w:type="dxa" w:w="0"/>
              <w:left w:type="dxa" w:w="170"/>
              <w:bottom w:type="dxa" w:w="0"/>
              <w:right w:type="dxa" w:w="170"/>
            </w:tcMar>
          </w:tcPr>
          <w:p>
            <w:pPr>
              <w:tabs>
                <w:tab w:val="left" w:pos="380"/>
              </w:tabs>
              <w:spacing w:after="60" w:line="264"/>
              <w:ind w:left="380" w:hanging="380"/>
            </w:pPr>
            <w:r>
              <w:rPr>
                <w:rFonts w:ascii="Inter" w:cs="Inter" w:eastAsia="Inter" w:hAnsi="Inter"/>
                <w:b/>
                <w:bCs/>
                <w:color w:val="1F4B47"/>
                <w:sz w:val="17"/>
                <w:szCs w:val="17"/>
              </w:rPr>
              <w:t xml:space="preserve">(2)</w:t>
            </w:r>
            <w:r>
              <w:rPr>
                <w:rFonts w:ascii="Inter" w:cs="Inter" w:eastAsia="Inter" w:hAnsi="Inter"/>
                <w:color w:val="222222"/>
                <w:sz w:val="17"/>
                <w:szCs w:val="17"/>
              </w:rPr>
              <w:t xml:space="preserve">	For activities not regulated in the StBVV (e.g. § 57 (3) nos. 2 and 3 StBerG), the agreed remuneration applies; failing that, the statutory remuneration provided for this activity; otherwise, the customary remuneration (§§ 612 (2) and 632 (2) BGB).</w:t>
            </w:r>
          </w:p>
        </w:tc>
      </w:tr>
      <w:tr>
        <w:trPr>
          <w:cantSplit/>
        </w:trPr>
        <w:tc>
          <w:tcPr>
            <w:tcW w:type="dxa" w:w="5103"/>
            <w:tcBorders>
              <w:top w:val="none" w:color="FFFFFF" w:sz="0"/>
              <w:left w:val="single" w:color="D9E2E2" w:sz="4"/>
              <w:bottom w:val="none" w:color="FFFFFF" w:sz="0"/>
              <w:right w:val="single" w:color="D9E2E2" w:sz="4"/>
            </w:tcBorders>
            <w:tcMar>
              <w:top w:type="dxa" w:w="0"/>
              <w:left w:type="dxa" w:w="170"/>
              <w:bottom w:type="dxa" w:w="0"/>
              <w:right w:type="dxa" w:w="170"/>
            </w:tcMar>
          </w:tcPr>
          <w:p>
            <w:pPr>
              <w:tabs>
                <w:tab w:val="left" w:pos="380"/>
              </w:tabs>
              <w:spacing w:after="60" w:line="264"/>
              <w:ind w:left="380" w:hanging="380"/>
            </w:pPr>
            <w:r>
              <w:rPr>
                <w:rFonts w:ascii="Inter" w:cs="Inter" w:eastAsia="Inter" w:hAnsi="Inter"/>
                <w:b/>
                <w:bCs/>
                <w:color w:val="1F4B47"/>
                <w:sz w:val="17"/>
                <w:szCs w:val="17"/>
              </w:rPr>
              <w:t xml:space="preserve">(3)</w:t>
            </w:r>
            <w:r>
              <w:rPr>
                <w:rFonts w:ascii="Inter" w:cs="Inter" w:eastAsia="Inter" w:hAnsi="Inter"/>
                <w:color w:val="222222"/>
                <w:sz w:val="17"/>
                <w:szCs w:val="17"/>
              </w:rPr>
              <w:t xml:space="preserve">	Eine Aufrechnung gegenüber einem Vergütungsanspruch des Steuerberaters ist nur mit unbestrittenen oder rechtskräftig festgestellten Forderungen zulässig. Etwaige Ansprüche des Auftraggebers auf Rückzahlung einer gezahlten Vergütung verjähren in 18 Monaten zum Jahresende nach Zugang der Rechnung beim Auftraggeber.</w:t>
            </w:r>
          </w:p>
        </w:tc>
        <w:tc>
          <w:tcPr>
            <w:tcW w:type="dxa" w:w="5103"/>
            <w:tcBorders>
              <w:top w:val="none" w:color="FFFFFF" w:sz="0"/>
              <w:left w:val="single" w:color="D9E2E2" w:sz="4"/>
              <w:bottom w:val="none" w:color="FFFFFF" w:sz="0"/>
              <w:right w:val="single" w:color="D9E2E2" w:sz="4"/>
            </w:tcBorders>
            <w:tcMar>
              <w:top w:type="dxa" w:w="0"/>
              <w:left w:type="dxa" w:w="170"/>
              <w:bottom w:type="dxa" w:w="0"/>
              <w:right w:type="dxa" w:w="170"/>
            </w:tcMar>
          </w:tcPr>
          <w:p>
            <w:pPr>
              <w:tabs>
                <w:tab w:val="left" w:pos="380"/>
              </w:tabs>
              <w:spacing w:after="60" w:line="264"/>
              <w:ind w:left="380" w:hanging="380"/>
            </w:pPr>
            <w:r>
              <w:rPr>
                <w:rFonts w:ascii="Inter" w:cs="Inter" w:eastAsia="Inter" w:hAnsi="Inter"/>
                <w:b/>
                <w:bCs/>
                <w:color w:val="1F4B47"/>
                <w:sz w:val="17"/>
                <w:szCs w:val="17"/>
              </w:rPr>
              <w:t xml:space="preserve">(3)</w:t>
            </w:r>
            <w:r>
              <w:rPr>
                <w:rFonts w:ascii="Inter" w:cs="Inter" w:eastAsia="Inter" w:hAnsi="Inter"/>
                <w:color w:val="222222"/>
                <w:sz w:val="17"/>
                <w:szCs w:val="17"/>
              </w:rPr>
              <w:t xml:space="preserve">	Set-off against a remuneration claim of the Tax Advisor is only permitted with undisputed or legally established claims. Any claims by the Client for repayment of remuneration paid become time-barred 18 months after the end of the year in which the invoice was received by the Client.</w:t>
            </w:r>
          </w:p>
        </w:tc>
      </w:tr>
      <w:tr>
        <w:trPr>
          <w:cantSplit/>
        </w:trPr>
        <w:tc>
          <w:tcPr>
            <w:tcW w:type="dxa" w:w="5103"/>
            <w:tcBorders>
              <w:top w:val="none" w:color="FFFFFF" w:sz="0"/>
              <w:left w:val="single" w:color="D9E2E2" w:sz="4"/>
              <w:bottom w:val="none" w:color="FFFFFF" w:sz="0"/>
              <w:right w:val="single" w:color="D9E2E2" w:sz="4"/>
            </w:tcBorders>
            <w:tcMar>
              <w:top w:type="dxa" w:w="0"/>
              <w:left w:type="dxa" w:w="170"/>
              <w:bottom w:type="dxa" w:w="0"/>
              <w:right w:type="dxa" w:w="170"/>
            </w:tcMar>
          </w:tcPr>
          <w:p>
            <w:pPr>
              <w:tabs>
                <w:tab w:val="left" w:pos="380"/>
              </w:tabs>
              <w:spacing w:after="60" w:line="264"/>
              <w:ind w:left="380" w:hanging="380"/>
            </w:pPr>
            <w:r>
              <w:rPr>
                <w:rFonts w:ascii="Inter" w:cs="Inter" w:eastAsia="Inter" w:hAnsi="Inter"/>
                <w:b/>
                <w:bCs/>
                <w:color w:val="1F4B47"/>
                <w:sz w:val="17"/>
                <w:szCs w:val="17"/>
              </w:rPr>
              <w:t xml:space="preserve">(4)</w:t>
            </w:r>
            <w:r>
              <w:rPr>
                <w:rFonts w:ascii="Inter" w:cs="Inter" w:eastAsia="Inter" w:hAnsi="Inter"/>
                <w:color w:val="222222"/>
                <w:sz w:val="17"/>
                <w:szCs w:val="17"/>
              </w:rPr>
              <w:t xml:space="preserve">	Für bereits entstandene und voraussichtlich entstehende Gebühren und Auslagen kann der Steuerberater einen Vorschuss fordern. Wird der geforderte Vorschuss nicht gezahlt, kann der Steuerberater nach vorheriger Ankündigung seine weitere Tätigkeit für den Auftraggeber einstellen, bis der Vorschuss eingeht. Der Steuerberater wird seine Absicht, die Tätigkeit einzustellen, dem Auftraggeber rechtzeitig bekanntgeben, wenn dem Auftraggeber Nachteile aus einer Einstellung der Tätigkeit erwachsen können. Für den Steuerberater ist eine Verrechnung von Vorschüssen mit allen fälligen Forderungen aus dem Auftragsverhältnis möglich, unabhängig davon, für welche Tätigkeit der Vorschuss gefordert wurde.</w:t>
            </w:r>
          </w:p>
        </w:tc>
        <w:tc>
          <w:tcPr>
            <w:tcW w:type="dxa" w:w="5103"/>
            <w:tcBorders>
              <w:top w:val="none" w:color="FFFFFF" w:sz="0"/>
              <w:left w:val="single" w:color="D9E2E2" w:sz="4"/>
              <w:bottom w:val="none" w:color="FFFFFF" w:sz="0"/>
              <w:right w:val="single" w:color="D9E2E2" w:sz="4"/>
            </w:tcBorders>
            <w:tcMar>
              <w:top w:type="dxa" w:w="0"/>
              <w:left w:type="dxa" w:w="170"/>
              <w:bottom w:type="dxa" w:w="0"/>
              <w:right w:type="dxa" w:w="170"/>
            </w:tcMar>
          </w:tcPr>
          <w:p>
            <w:pPr>
              <w:tabs>
                <w:tab w:val="left" w:pos="380"/>
              </w:tabs>
              <w:spacing w:after="60" w:line="264"/>
              <w:ind w:left="380" w:hanging="380"/>
            </w:pPr>
            <w:r>
              <w:rPr>
                <w:rFonts w:ascii="Inter" w:cs="Inter" w:eastAsia="Inter" w:hAnsi="Inter"/>
                <w:b/>
                <w:bCs/>
                <w:color w:val="1F4B47"/>
                <w:sz w:val="17"/>
                <w:szCs w:val="17"/>
              </w:rPr>
              <w:t xml:space="preserve">(4)</w:t>
            </w:r>
            <w:r>
              <w:rPr>
                <w:rFonts w:ascii="Inter" w:cs="Inter" w:eastAsia="Inter" w:hAnsi="Inter"/>
                <w:color w:val="222222"/>
                <w:sz w:val="17"/>
                <w:szCs w:val="17"/>
              </w:rPr>
              <w:t xml:space="preserve">	The Tax Advisor may request an advance payment for fees and expenses already incurred and expected to be incurred. If the requested advance is not paid, the Tax Advisor may, after prior notice, suspend further work for the Client until the advance is received. The Tax Advisor will notify the Client in good time of the intention to suspend work if the Client may suffer disadvantages from the suspension. The Tax Advisor may offset advance payments against all due claims arising from the engagement, irrespective of the activity for which the advance was requested.</w:t>
            </w:r>
          </w:p>
        </w:tc>
      </w:tr>
      <w:tr>
        <w:trPr>
          <w:cantSplit/>
        </w:trPr>
        <w:tc>
          <w:tcPr>
            <w:tcW w:type="dxa" w:w="5103"/>
            <w:tcBorders>
              <w:top w:val="none" w:color="FFFFFF" w:sz="0"/>
              <w:left w:val="single" w:color="D9E2E2" w:sz="4"/>
              <w:bottom w:val="single" w:color="D9E2E2" w:sz="4"/>
              <w:right w:val="single" w:color="D9E2E2" w:sz="4"/>
            </w:tcBorders>
            <w:tcMar>
              <w:top w:type="dxa" w:w="0"/>
              <w:left w:type="dxa" w:w="170"/>
              <w:bottom w:type="dxa" w:w="110"/>
              <w:right w:type="dxa" w:w="170"/>
            </w:tcMar>
          </w:tcPr>
          <w:p>
            <w:pPr>
              <w:tabs>
                <w:tab w:val="left" w:pos="380"/>
              </w:tabs>
              <w:spacing w:after="60" w:line="264"/>
              <w:ind w:left="380" w:hanging="380"/>
            </w:pPr>
            <w:r>
              <w:rPr>
                <w:rFonts w:ascii="Inter" w:cs="Inter" w:eastAsia="Inter" w:hAnsi="Inter"/>
                <w:b/>
                <w:bCs/>
                <w:color w:val="1F4B47"/>
                <w:sz w:val="17"/>
                <w:szCs w:val="17"/>
              </w:rPr>
              <w:t xml:space="preserve">(5)</w:t>
            </w:r>
            <w:r>
              <w:rPr>
                <w:rFonts w:ascii="Inter" w:cs="Inter" w:eastAsia="Inter" w:hAnsi="Inter"/>
                <w:color w:val="222222"/>
                <w:sz w:val="17"/>
                <w:szCs w:val="17"/>
              </w:rPr>
              <w:t xml:space="preserve">	Der Auftraggeber kommt in Verzug, wenn er nicht innerhalb von 14 Tagen nach Rechnungsdatum zahlt.</w:t>
            </w:r>
          </w:p>
        </w:tc>
        <w:tc>
          <w:tcPr>
            <w:tcW w:type="dxa" w:w="5103"/>
            <w:tcBorders>
              <w:top w:val="none" w:color="FFFFFF" w:sz="0"/>
              <w:left w:val="single" w:color="D9E2E2" w:sz="4"/>
              <w:bottom w:val="single" w:color="D9E2E2" w:sz="4"/>
              <w:right w:val="single" w:color="D9E2E2" w:sz="4"/>
            </w:tcBorders>
            <w:tcMar>
              <w:top w:type="dxa" w:w="0"/>
              <w:left w:type="dxa" w:w="170"/>
              <w:bottom w:type="dxa" w:w="110"/>
              <w:right w:type="dxa" w:w="170"/>
            </w:tcMar>
          </w:tcPr>
          <w:p>
            <w:pPr>
              <w:tabs>
                <w:tab w:val="left" w:pos="380"/>
              </w:tabs>
              <w:spacing w:after="60" w:line="264"/>
              <w:ind w:left="380" w:hanging="380"/>
            </w:pPr>
            <w:r>
              <w:rPr>
                <w:rFonts w:ascii="Inter" w:cs="Inter" w:eastAsia="Inter" w:hAnsi="Inter"/>
                <w:b/>
                <w:bCs/>
                <w:color w:val="1F4B47"/>
                <w:sz w:val="17"/>
                <w:szCs w:val="17"/>
              </w:rPr>
              <w:t xml:space="preserve">(5)</w:t>
            </w:r>
            <w:r>
              <w:rPr>
                <w:rFonts w:ascii="Inter" w:cs="Inter" w:eastAsia="Inter" w:hAnsi="Inter"/>
                <w:color w:val="222222"/>
                <w:sz w:val="17"/>
                <w:szCs w:val="17"/>
              </w:rPr>
              <w:t xml:space="preserve">	The Client is in default if payment is not made within 14 days of the invoice date.</w:t>
            </w:r>
          </w:p>
        </w:tc>
      </w:tr>
      <w:tr>
        <w:trPr>
          <w:cantSplit/>
        </w:trPr>
        <w:tc>
          <w:tcPr>
            <w:tcW w:type="dxa" w:w="5103"/>
            <w:tcBorders>
              <w:top w:val="single" w:color="D9E2E2" w:sz="4"/>
              <w:left w:val="single" w:color="D9E2E2" w:sz="4"/>
              <w:bottom w:val="none" w:color="FFFFFF" w:sz="0"/>
              <w:right w:val="single" w:color="D9E2E2" w:sz="4"/>
            </w:tcBorders>
            <w:tcMar>
              <w:top w:type="dxa" w:w="120"/>
              <w:left w:type="dxa" w:w="170"/>
              <w:bottom w:type="dxa" w:w="0"/>
              <w:right w:type="dxa" w:w="170"/>
            </w:tcMar>
          </w:tcPr>
          <w:p>
            <w:pPr>
              <w:spacing w:after="80"/>
            </w:pPr>
            <w:r>
              <w:rPr>
                <w:rFonts w:ascii="Inter" w:cs="Inter" w:eastAsia="Inter" w:hAnsi="Inter"/>
                <w:b/>
                <w:bCs/>
                <w:color w:val="1F4B47"/>
                <w:sz w:val="19"/>
                <w:szCs w:val="19"/>
              </w:rPr>
              <w:t xml:space="preserve">10  </w:t>
            </w:r>
            <w:r>
              <w:rPr>
                <w:rFonts w:ascii="Inter" w:cs="Inter" w:eastAsia="Inter" w:hAnsi="Inter"/>
                <w:b/>
                <w:bCs/>
                <w:color w:val="123330"/>
                <w:sz w:val="19"/>
                <w:szCs w:val="19"/>
              </w:rPr>
              <w:t xml:space="preserve">Beendigung des Auftrags</w:t>
            </w:r>
          </w:p>
          <w:p>
            <w:pPr>
              <w:tabs>
                <w:tab w:val="left" w:pos="380"/>
              </w:tabs>
              <w:spacing w:after="60" w:line="264"/>
              <w:ind w:left="380" w:hanging="380"/>
            </w:pPr>
            <w:r>
              <w:rPr>
                <w:rFonts w:ascii="Inter" w:cs="Inter" w:eastAsia="Inter" w:hAnsi="Inter"/>
                <w:b/>
                <w:bCs/>
                <w:color w:val="1F4B47"/>
                <w:sz w:val="17"/>
                <w:szCs w:val="17"/>
              </w:rPr>
              <w:t xml:space="preserve">(1)</w:t>
            </w:r>
            <w:r>
              <w:rPr>
                <w:rFonts w:ascii="Inter" w:cs="Inter" w:eastAsia="Inter" w:hAnsi="Inter"/>
                <w:color w:val="222222"/>
                <w:sz w:val="17"/>
                <w:szCs w:val="17"/>
              </w:rPr>
              <w:t xml:space="preserve">	Der Auftrag endet mit Erfüllung der vereinbarten Leistungen, durch Ablauf der vereinbarten Laufzeit oder durch Kündigung. Der Auftrag endet nicht durch den Tod, durch den Eintritt der Geschäftsunfähigkeit des Auftraggebers oder im Falle einer Gesellschaft durch deren Auflösung.</w:t>
            </w:r>
          </w:p>
        </w:tc>
        <w:tc>
          <w:tcPr>
            <w:tcW w:type="dxa" w:w="5103"/>
            <w:tcBorders>
              <w:top w:val="single" w:color="D9E2E2" w:sz="4"/>
              <w:left w:val="single" w:color="D9E2E2" w:sz="4"/>
              <w:bottom w:val="none" w:color="FFFFFF" w:sz="0"/>
              <w:right w:val="single" w:color="D9E2E2" w:sz="4"/>
            </w:tcBorders>
            <w:tcMar>
              <w:top w:type="dxa" w:w="120"/>
              <w:left w:type="dxa" w:w="170"/>
              <w:bottom w:type="dxa" w:w="0"/>
              <w:right w:type="dxa" w:w="170"/>
            </w:tcMar>
          </w:tcPr>
          <w:p>
            <w:pPr>
              <w:spacing w:after="80"/>
            </w:pPr>
            <w:r>
              <w:rPr>
                <w:rFonts w:ascii="Inter" w:cs="Inter" w:eastAsia="Inter" w:hAnsi="Inter"/>
                <w:b/>
                <w:bCs/>
                <w:color w:val="1F4B47"/>
                <w:sz w:val="19"/>
                <w:szCs w:val="19"/>
              </w:rPr>
              <w:t xml:space="preserve">10  </w:t>
            </w:r>
            <w:r>
              <w:rPr>
                <w:rFonts w:ascii="Inter" w:cs="Inter" w:eastAsia="Inter" w:hAnsi="Inter"/>
                <w:b/>
                <w:bCs/>
                <w:color w:val="123330"/>
                <w:sz w:val="19"/>
                <w:szCs w:val="19"/>
              </w:rPr>
              <w:t xml:space="preserve">Termination of the Engagement</w:t>
            </w:r>
          </w:p>
          <w:p>
            <w:pPr>
              <w:tabs>
                <w:tab w:val="left" w:pos="380"/>
              </w:tabs>
              <w:spacing w:after="60" w:line="264"/>
              <w:ind w:left="380" w:hanging="380"/>
            </w:pPr>
            <w:r>
              <w:rPr>
                <w:rFonts w:ascii="Inter" w:cs="Inter" w:eastAsia="Inter" w:hAnsi="Inter"/>
                <w:b/>
                <w:bCs/>
                <w:color w:val="1F4B47"/>
                <w:sz w:val="17"/>
                <w:szCs w:val="17"/>
              </w:rPr>
              <w:t xml:space="preserve">(1)</w:t>
            </w:r>
            <w:r>
              <w:rPr>
                <w:rFonts w:ascii="Inter" w:cs="Inter" w:eastAsia="Inter" w:hAnsi="Inter"/>
                <w:color w:val="222222"/>
                <w:sz w:val="17"/>
                <w:szCs w:val="17"/>
              </w:rPr>
              <w:t xml:space="preserve">	The engagement ends upon fulfilment of the agreed services, upon expiry of the agreed term or by termination. The engagement does not end upon the death or incapacity of the Client or, in the case of a company, upon its dissolution.</w:t>
            </w:r>
          </w:p>
        </w:tc>
      </w:tr>
      <w:tr>
        <w:trPr>
          <w:cantSplit/>
        </w:trPr>
        <w:tc>
          <w:tcPr>
            <w:tcW w:type="dxa" w:w="5103"/>
            <w:tcBorders>
              <w:top w:val="none" w:color="FFFFFF" w:sz="0"/>
              <w:left w:val="single" w:color="D9E2E2" w:sz="4"/>
              <w:bottom w:val="none" w:color="FFFFFF" w:sz="0"/>
              <w:right w:val="single" w:color="D9E2E2" w:sz="4"/>
            </w:tcBorders>
            <w:tcMar>
              <w:top w:type="dxa" w:w="0"/>
              <w:left w:type="dxa" w:w="170"/>
              <w:bottom w:type="dxa" w:w="0"/>
              <w:right w:type="dxa" w:w="170"/>
            </w:tcMar>
          </w:tcPr>
          <w:p>
            <w:pPr>
              <w:tabs>
                <w:tab w:val="left" w:pos="380"/>
              </w:tabs>
              <w:spacing w:after="60" w:line="264"/>
              <w:ind w:left="380" w:hanging="380"/>
            </w:pPr>
            <w:r>
              <w:rPr>
                <w:rFonts w:ascii="Inter" w:cs="Inter" w:eastAsia="Inter" w:hAnsi="Inter"/>
                <w:b/>
                <w:bCs/>
                <w:color w:val="1F4B47"/>
                <w:sz w:val="17"/>
                <w:szCs w:val="17"/>
              </w:rPr>
              <w:t xml:space="preserve">(2)</w:t>
            </w:r>
            <w:r>
              <w:rPr>
                <w:rFonts w:ascii="Inter" w:cs="Inter" w:eastAsia="Inter" w:hAnsi="Inter"/>
                <w:color w:val="222222"/>
                <w:sz w:val="17"/>
                <w:szCs w:val="17"/>
              </w:rPr>
              <w:t xml:space="preserve">	Der Auftrag kann – wenn und soweit er einen Dienstvertrag i. S. d. §§ 611, 675 BGB darstellt – von jedem Vertragspartner außerordentlich gekündigt werden, es sei denn, es handelt sich um ein Dienstverhältnis mit festen Bezügen, § 627 Abs. 1 BGB; die Kündigung hat in Textform zu erfolgen. Soweit im Einzelfall hiervon abgewichen werden soll, bedarf es einer Vereinbarung zwischen Steuerberater und Auftraggeber.</w:t>
            </w:r>
          </w:p>
        </w:tc>
        <w:tc>
          <w:tcPr>
            <w:tcW w:type="dxa" w:w="5103"/>
            <w:tcBorders>
              <w:top w:val="none" w:color="FFFFFF" w:sz="0"/>
              <w:left w:val="single" w:color="D9E2E2" w:sz="4"/>
              <w:bottom w:val="none" w:color="FFFFFF" w:sz="0"/>
              <w:right w:val="single" w:color="D9E2E2" w:sz="4"/>
            </w:tcBorders>
            <w:tcMar>
              <w:top w:type="dxa" w:w="0"/>
              <w:left w:type="dxa" w:w="170"/>
              <w:bottom w:type="dxa" w:w="0"/>
              <w:right w:type="dxa" w:w="170"/>
            </w:tcMar>
          </w:tcPr>
          <w:p>
            <w:pPr>
              <w:tabs>
                <w:tab w:val="left" w:pos="380"/>
              </w:tabs>
              <w:spacing w:after="60" w:line="264"/>
              <w:ind w:left="380" w:hanging="380"/>
            </w:pPr>
            <w:r>
              <w:rPr>
                <w:rFonts w:ascii="Inter" w:cs="Inter" w:eastAsia="Inter" w:hAnsi="Inter"/>
                <w:b/>
                <w:bCs/>
                <w:color w:val="1F4B47"/>
                <w:sz w:val="17"/>
                <w:szCs w:val="17"/>
              </w:rPr>
              <w:t xml:space="preserve">(2)</w:t>
            </w:r>
            <w:r>
              <w:rPr>
                <w:rFonts w:ascii="Inter" w:cs="Inter" w:eastAsia="Inter" w:hAnsi="Inter"/>
                <w:color w:val="222222"/>
                <w:sz w:val="17"/>
                <w:szCs w:val="17"/>
              </w:rPr>
              <w:t xml:space="preserve">	If and to the extent that the engagement constitutes a service contract within the meaning of §§ 611, 675 BGB, it may be terminated extraordinarily by either party, unless it is a service relationship with fixed remuneration, § 627 (1) BGB; notice of termination must be given in text form. Any deviation from this in an individual case requires an agreement between the Tax Advisor and the Client.</w:t>
            </w:r>
          </w:p>
        </w:tc>
      </w:tr>
      <w:tr>
        <w:trPr>
          <w:cantSplit/>
        </w:trPr>
        <w:tc>
          <w:tcPr>
            <w:tcW w:type="dxa" w:w="5103"/>
            <w:tcBorders>
              <w:top w:val="none" w:color="FFFFFF" w:sz="0"/>
              <w:left w:val="single" w:color="D9E2E2" w:sz="4"/>
              <w:bottom w:val="none" w:color="FFFFFF" w:sz="0"/>
              <w:right w:val="single" w:color="D9E2E2" w:sz="4"/>
            </w:tcBorders>
            <w:tcMar>
              <w:top w:type="dxa" w:w="0"/>
              <w:left w:type="dxa" w:w="170"/>
              <w:bottom w:type="dxa" w:w="0"/>
              <w:right w:type="dxa" w:w="170"/>
            </w:tcMar>
          </w:tcPr>
          <w:p>
            <w:pPr>
              <w:tabs>
                <w:tab w:val="left" w:pos="380"/>
              </w:tabs>
              <w:spacing w:after="60" w:line="264"/>
              <w:ind w:left="380" w:hanging="380"/>
            </w:pPr>
            <w:r>
              <w:rPr>
                <w:rFonts w:ascii="Inter" w:cs="Inter" w:eastAsia="Inter" w:hAnsi="Inter"/>
                <w:b/>
                <w:bCs/>
                <w:color w:val="1F4B47"/>
                <w:sz w:val="17"/>
                <w:szCs w:val="17"/>
              </w:rPr>
              <w:t xml:space="preserve">(3)</w:t>
            </w:r>
            <w:r>
              <w:rPr>
                <w:rFonts w:ascii="Inter" w:cs="Inter" w:eastAsia="Inter" w:hAnsi="Inter"/>
                <w:color w:val="222222"/>
                <w:sz w:val="17"/>
                <w:szCs w:val="17"/>
              </w:rPr>
              <w:t xml:space="preserve">	Mit Beendigung des Auftrags hat der Auftraggeber dem Steuerberater die beim Auftraggeber zur Ausführung des Auftrags eingesetzten Datenverarbeitungsprogramme einschließlich angefertigter Kopien sowie sonstige Programmunterlagen unverzüglich herauszugeben bzw. zu löschen.</w:t>
            </w:r>
          </w:p>
        </w:tc>
        <w:tc>
          <w:tcPr>
            <w:tcW w:type="dxa" w:w="5103"/>
            <w:tcBorders>
              <w:top w:val="none" w:color="FFFFFF" w:sz="0"/>
              <w:left w:val="single" w:color="D9E2E2" w:sz="4"/>
              <w:bottom w:val="none" w:color="FFFFFF" w:sz="0"/>
              <w:right w:val="single" w:color="D9E2E2" w:sz="4"/>
            </w:tcBorders>
            <w:tcMar>
              <w:top w:type="dxa" w:w="0"/>
              <w:left w:type="dxa" w:w="170"/>
              <w:bottom w:type="dxa" w:w="0"/>
              <w:right w:type="dxa" w:w="170"/>
            </w:tcMar>
          </w:tcPr>
          <w:p>
            <w:pPr>
              <w:tabs>
                <w:tab w:val="left" w:pos="380"/>
              </w:tabs>
              <w:spacing w:after="60" w:line="264"/>
              <w:ind w:left="380" w:hanging="380"/>
            </w:pPr>
            <w:r>
              <w:rPr>
                <w:rFonts w:ascii="Inter" w:cs="Inter" w:eastAsia="Inter" w:hAnsi="Inter"/>
                <w:b/>
                <w:bCs/>
                <w:color w:val="1F4B47"/>
                <w:sz w:val="17"/>
                <w:szCs w:val="17"/>
              </w:rPr>
              <w:t xml:space="preserve">(3)</w:t>
            </w:r>
            <w:r>
              <w:rPr>
                <w:rFonts w:ascii="Inter" w:cs="Inter" w:eastAsia="Inter" w:hAnsi="Inter"/>
                <w:color w:val="222222"/>
                <w:sz w:val="17"/>
                <w:szCs w:val="17"/>
              </w:rPr>
              <w:t xml:space="preserve">	Upon termination of the engagement, the Client must immediately return to the Tax Advisor, or delete, the data processing programs used at the Client’s premises to perform the engagement, including any copies made, as well as other program documentation.</w:t>
            </w:r>
          </w:p>
        </w:tc>
      </w:tr>
      <w:tr>
        <w:trPr>
          <w:cantSplit/>
        </w:trPr>
        <w:tc>
          <w:tcPr>
            <w:tcW w:type="dxa" w:w="5103"/>
            <w:tcBorders>
              <w:top w:val="none" w:color="FFFFFF" w:sz="0"/>
              <w:left w:val="single" w:color="D9E2E2" w:sz="4"/>
              <w:bottom w:val="none" w:color="FFFFFF" w:sz="0"/>
              <w:right w:val="single" w:color="D9E2E2" w:sz="4"/>
            </w:tcBorders>
            <w:tcMar>
              <w:top w:type="dxa" w:w="0"/>
              <w:left w:type="dxa" w:w="170"/>
              <w:bottom w:type="dxa" w:w="0"/>
              <w:right w:type="dxa" w:w="170"/>
            </w:tcMar>
          </w:tcPr>
          <w:p>
            <w:pPr>
              <w:tabs>
                <w:tab w:val="left" w:pos="380"/>
              </w:tabs>
              <w:spacing w:after="60" w:line="264"/>
              <w:ind w:left="380" w:hanging="380"/>
            </w:pPr>
            <w:r>
              <w:rPr>
                <w:rFonts w:ascii="Inter" w:cs="Inter" w:eastAsia="Inter" w:hAnsi="Inter"/>
                <w:b/>
                <w:bCs/>
                <w:color w:val="1F4B47"/>
                <w:sz w:val="17"/>
                <w:szCs w:val="17"/>
              </w:rPr>
              <w:t xml:space="preserve">(4)</w:t>
            </w:r>
            <w:r>
              <w:rPr>
                <w:rFonts w:ascii="Inter" w:cs="Inter" w:eastAsia="Inter" w:hAnsi="Inter"/>
                <w:color w:val="222222"/>
                <w:sz w:val="17"/>
                <w:szCs w:val="17"/>
              </w:rPr>
              <w:t xml:space="preserve">	Nach Beendigung des Auftragsverhältnisses sind die Unterlagen beim Steuerberater abzuholen.</w:t>
            </w:r>
          </w:p>
        </w:tc>
        <w:tc>
          <w:tcPr>
            <w:tcW w:type="dxa" w:w="5103"/>
            <w:tcBorders>
              <w:top w:val="none" w:color="FFFFFF" w:sz="0"/>
              <w:left w:val="single" w:color="D9E2E2" w:sz="4"/>
              <w:bottom w:val="none" w:color="FFFFFF" w:sz="0"/>
              <w:right w:val="single" w:color="D9E2E2" w:sz="4"/>
            </w:tcBorders>
            <w:tcMar>
              <w:top w:type="dxa" w:w="0"/>
              <w:left w:type="dxa" w:w="170"/>
              <w:bottom w:type="dxa" w:w="0"/>
              <w:right w:type="dxa" w:w="170"/>
            </w:tcMar>
          </w:tcPr>
          <w:p>
            <w:pPr>
              <w:tabs>
                <w:tab w:val="left" w:pos="380"/>
              </w:tabs>
              <w:spacing w:after="60" w:line="264"/>
              <w:ind w:left="380" w:hanging="380"/>
            </w:pPr>
            <w:r>
              <w:rPr>
                <w:rFonts w:ascii="Inter" w:cs="Inter" w:eastAsia="Inter" w:hAnsi="Inter"/>
                <w:b/>
                <w:bCs/>
                <w:color w:val="1F4B47"/>
                <w:sz w:val="17"/>
                <w:szCs w:val="17"/>
              </w:rPr>
              <w:t xml:space="preserve">(4)</w:t>
            </w:r>
            <w:r>
              <w:rPr>
                <w:rFonts w:ascii="Inter" w:cs="Inter" w:eastAsia="Inter" w:hAnsi="Inter"/>
                <w:color w:val="222222"/>
                <w:sz w:val="17"/>
                <w:szCs w:val="17"/>
              </w:rPr>
              <w:t xml:space="preserve">	After the engagement has ended, the documents are to be collected from the Tax Advisor.</w:t>
            </w:r>
          </w:p>
        </w:tc>
      </w:tr>
      <w:tr>
        <w:trPr>
          <w:cantSplit/>
        </w:trPr>
        <w:tc>
          <w:tcPr>
            <w:tcW w:type="dxa" w:w="5103"/>
            <w:tcBorders>
              <w:top w:val="none" w:color="FFFFFF" w:sz="0"/>
              <w:left w:val="single" w:color="D9E2E2" w:sz="4"/>
              <w:bottom w:val="single" w:color="D9E2E2" w:sz="4"/>
              <w:right w:val="single" w:color="D9E2E2" w:sz="4"/>
            </w:tcBorders>
            <w:tcMar>
              <w:top w:type="dxa" w:w="0"/>
              <w:left w:type="dxa" w:w="170"/>
              <w:bottom w:type="dxa" w:w="110"/>
              <w:right w:type="dxa" w:w="170"/>
            </w:tcMar>
          </w:tcPr>
          <w:p>
            <w:pPr>
              <w:tabs>
                <w:tab w:val="left" w:pos="380"/>
              </w:tabs>
              <w:spacing w:after="60" w:line="264"/>
              <w:ind w:left="380" w:hanging="380"/>
            </w:pPr>
            <w:r>
              <w:rPr>
                <w:rFonts w:ascii="Inter" w:cs="Inter" w:eastAsia="Inter" w:hAnsi="Inter"/>
                <w:b/>
                <w:bCs/>
                <w:color w:val="1F4B47"/>
                <w:sz w:val="17"/>
                <w:szCs w:val="17"/>
              </w:rPr>
              <w:t xml:space="preserve">(5)</w:t>
            </w:r>
            <w:r>
              <w:rPr>
                <w:rFonts w:ascii="Inter" w:cs="Inter" w:eastAsia="Inter" w:hAnsi="Inter"/>
                <w:color w:val="222222"/>
                <w:sz w:val="17"/>
                <w:szCs w:val="17"/>
              </w:rPr>
              <w:t xml:space="preserve">	Endet der Auftrag vor seiner vollständigen Ausführung, so richtet sich der Vergütungsanspruch des Steuerberaters nach den gesetzlichen Regelungen, insbesondere § 12 Abs. 4 StBVV. Soweit im Einzelfall hiervon abgewichen werden soll, bedarf es einer gesonderten Vereinbarung in Textform.</w:t>
            </w:r>
          </w:p>
        </w:tc>
        <w:tc>
          <w:tcPr>
            <w:tcW w:type="dxa" w:w="5103"/>
            <w:tcBorders>
              <w:top w:val="none" w:color="FFFFFF" w:sz="0"/>
              <w:left w:val="single" w:color="D9E2E2" w:sz="4"/>
              <w:bottom w:val="single" w:color="D9E2E2" w:sz="4"/>
              <w:right w:val="single" w:color="D9E2E2" w:sz="4"/>
            </w:tcBorders>
            <w:tcMar>
              <w:top w:type="dxa" w:w="0"/>
              <w:left w:type="dxa" w:w="170"/>
              <w:bottom w:type="dxa" w:w="110"/>
              <w:right w:type="dxa" w:w="170"/>
            </w:tcMar>
          </w:tcPr>
          <w:p>
            <w:pPr>
              <w:tabs>
                <w:tab w:val="left" w:pos="380"/>
              </w:tabs>
              <w:spacing w:after="60" w:line="264"/>
              <w:ind w:left="380" w:hanging="380"/>
            </w:pPr>
            <w:r>
              <w:rPr>
                <w:rFonts w:ascii="Inter" w:cs="Inter" w:eastAsia="Inter" w:hAnsi="Inter"/>
                <w:b/>
                <w:bCs/>
                <w:color w:val="1F4B47"/>
                <w:sz w:val="17"/>
                <w:szCs w:val="17"/>
              </w:rPr>
              <w:t xml:space="preserve">(5)</w:t>
            </w:r>
            <w:r>
              <w:rPr>
                <w:rFonts w:ascii="Inter" w:cs="Inter" w:eastAsia="Inter" w:hAnsi="Inter"/>
                <w:color w:val="222222"/>
                <w:sz w:val="17"/>
                <w:szCs w:val="17"/>
              </w:rPr>
              <w:t xml:space="preserve">	If the engagement ends before it has been fully performed, the Tax Advisor’s remuneration claim is governed by the statutory provisions, in particular § 12 (4) StBVV. Any deviation from this in an individual case requires a separate agreement in text form.</w:t>
            </w:r>
          </w:p>
        </w:tc>
      </w:tr>
      <w:tr>
        <w:trPr>
          <w:cantSplit/>
        </w:trPr>
        <w:tc>
          <w:tcPr>
            <w:tcW w:type="dxa" w:w="5103"/>
            <w:tcBorders>
              <w:top w:val="single" w:color="D9E2E2" w:sz="4"/>
              <w:left w:val="single" w:color="D9E2E2" w:sz="4"/>
              <w:bottom w:val="none" w:color="FFFFFF" w:sz="0"/>
              <w:right w:val="single" w:color="D9E2E2" w:sz="4"/>
            </w:tcBorders>
            <w:tcMar>
              <w:top w:type="dxa" w:w="120"/>
              <w:left w:type="dxa" w:w="170"/>
              <w:bottom w:type="dxa" w:w="0"/>
              <w:right w:type="dxa" w:w="170"/>
            </w:tcMar>
          </w:tcPr>
          <w:p>
            <w:pPr>
              <w:spacing w:after="80"/>
            </w:pPr>
            <w:r>
              <w:rPr>
                <w:rFonts w:ascii="Inter" w:cs="Inter" w:eastAsia="Inter" w:hAnsi="Inter"/>
                <w:b/>
                <w:bCs/>
                <w:color w:val="1F4B47"/>
                <w:sz w:val="19"/>
                <w:szCs w:val="19"/>
              </w:rPr>
              <w:t xml:space="preserve">11  </w:t>
            </w:r>
            <w:r>
              <w:rPr>
                <w:rFonts w:ascii="Inter" w:cs="Inter" w:eastAsia="Inter" w:hAnsi="Inter"/>
                <w:b/>
                <w:bCs/>
                <w:color w:val="123330"/>
                <w:sz w:val="19"/>
                <w:szCs w:val="19"/>
              </w:rPr>
              <w:t xml:space="preserve">Zurückbehaltungsrecht in Bezug auf Arbeitsergebnisse und Unterlagen</w:t>
            </w:r>
          </w:p>
          <w:p>
            <w:pPr>
              <w:tabs>
                <w:tab w:val="left" w:pos="380"/>
              </w:tabs>
              <w:spacing w:after="60" w:line="264"/>
              <w:ind w:left="380" w:hanging="380"/>
            </w:pPr>
            <w:r>
              <w:rPr>
                <w:rFonts w:ascii="Inter" w:cs="Inter" w:eastAsia="Inter" w:hAnsi="Inter"/>
                <w:b/>
                <w:bCs/>
                <w:color w:val="1F4B47"/>
                <w:sz w:val="17"/>
                <w:szCs w:val="17"/>
              </w:rPr>
              <w:t xml:space="preserve">(1)</w:t>
            </w:r>
            <w:r>
              <w:rPr>
                <w:rFonts w:ascii="Inter" w:cs="Inter" w:eastAsia="Inter" w:hAnsi="Inter"/>
                <w:color w:val="222222"/>
                <w:sz w:val="17"/>
                <w:szCs w:val="17"/>
              </w:rPr>
              <w:t xml:space="preserve">	Der Steuerberater kann von Unterlagen, die er an den Auftraggeber zurückgibt, Abschriften oder Fotokopien anfertigen und zurückbehalten oder dies im Wege der elektronischen Datenverarbeitung vornehmen.</w:t>
            </w:r>
          </w:p>
        </w:tc>
        <w:tc>
          <w:tcPr>
            <w:tcW w:type="dxa" w:w="5103"/>
            <w:tcBorders>
              <w:top w:val="single" w:color="D9E2E2" w:sz="4"/>
              <w:left w:val="single" w:color="D9E2E2" w:sz="4"/>
              <w:bottom w:val="none" w:color="FFFFFF" w:sz="0"/>
              <w:right w:val="single" w:color="D9E2E2" w:sz="4"/>
            </w:tcBorders>
            <w:tcMar>
              <w:top w:type="dxa" w:w="120"/>
              <w:left w:type="dxa" w:w="170"/>
              <w:bottom w:type="dxa" w:w="0"/>
              <w:right w:type="dxa" w:w="170"/>
            </w:tcMar>
          </w:tcPr>
          <w:p>
            <w:pPr>
              <w:spacing w:after="80"/>
            </w:pPr>
            <w:r>
              <w:rPr>
                <w:rFonts w:ascii="Inter" w:cs="Inter" w:eastAsia="Inter" w:hAnsi="Inter"/>
                <w:b/>
                <w:bCs/>
                <w:color w:val="1F4B47"/>
                <w:sz w:val="19"/>
                <w:szCs w:val="19"/>
              </w:rPr>
              <w:t xml:space="preserve">11  </w:t>
            </w:r>
            <w:r>
              <w:rPr>
                <w:rFonts w:ascii="Inter" w:cs="Inter" w:eastAsia="Inter" w:hAnsi="Inter"/>
                <w:b/>
                <w:bCs/>
                <w:color w:val="123330"/>
                <w:sz w:val="19"/>
                <w:szCs w:val="19"/>
              </w:rPr>
              <w:t xml:space="preserve">Right of Retention Regarding Work Results and Documents</w:t>
            </w:r>
          </w:p>
          <w:p>
            <w:pPr>
              <w:tabs>
                <w:tab w:val="left" w:pos="380"/>
              </w:tabs>
              <w:spacing w:after="60" w:line="264"/>
              <w:ind w:left="380" w:hanging="380"/>
            </w:pPr>
            <w:r>
              <w:rPr>
                <w:rFonts w:ascii="Inter" w:cs="Inter" w:eastAsia="Inter" w:hAnsi="Inter"/>
                <w:b/>
                <w:bCs/>
                <w:color w:val="1F4B47"/>
                <w:sz w:val="17"/>
                <w:szCs w:val="17"/>
              </w:rPr>
              <w:t xml:space="preserve">(1)</w:t>
            </w:r>
            <w:r>
              <w:rPr>
                <w:rFonts w:ascii="Inter" w:cs="Inter" w:eastAsia="Inter" w:hAnsi="Inter"/>
                <w:color w:val="222222"/>
                <w:sz w:val="17"/>
                <w:szCs w:val="17"/>
              </w:rPr>
              <w:t xml:space="preserve">	The Tax Advisor may make and retain copies or photocopies of documents returned to the Client, or do so by means of electronic data processing.</w:t>
            </w:r>
          </w:p>
        </w:tc>
      </w:tr>
      <w:tr>
        <w:trPr>
          <w:cantSplit/>
        </w:trPr>
        <w:tc>
          <w:tcPr>
            <w:tcW w:type="dxa" w:w="5103"/>
            <w:tcBorders>
              <w:top w:val="none" w:color="FFFFFF" w:sz="0"/>
              <w:left w:val="single" w:color="D9E2E2" w:sz="4"/>
              <w:bottom w:val="single" w:color="D9E2E2" w:sz="4"/>
              <w:right w:val="single" w:color="D9E2E2" w:sz="4"/>
            </w:tcBorders>
            <w:tcMar>
              <w:top w:type="dxa" w:w="0"/>
              <w:left w:type="dxa" w:w="170"/>
              <w:bottom w:type="dxa" w:w="110"/>
              <w:right w:type="dxa" w:w="170"/>
            </w:tcMar>
          </w:tcPr>
          <w:p>
            <w:pPr>
              <w:tabs>
                <w:tab w:val="left" w:pos="380"/>
              </w:tabs>
              <w:spacing w:after="60" w:line="264"/>
              <w:ind w:left="380" w:hanging="380"/>
            </w:pPr>
            <w:r>
              <w:rPr>
                <w:rFonts w:ascii="Inter" w:cs="Inter" w:eastAsia="Inter" w:hAnsi="Inter"/>
                <w:b/>
                <w:bCs/>
                <w:color w:val="1F4B47"/>
                <w:sz w:val="17"/>
                <w:szCs w:val="17"/>
              </w:rPr>
              <w:t xml:space="preserve">(2)</w:t>
            </w:r>
            <w:r>
              <w:rPr>
                <w:rFonts w:ascii="Inter" w:cs="Inter" w:eastAsia="Inter" w:hAnsi="Inter"/>
                <w:color w:val="222222"/>
                <w:sz w:val="17"/>
                <w:szCs w:val="17"/>
              </w:rPr>
              <w:t xml:space="preserve">	Der Steuerberater kann die Herausgabe der Dokumente verweigern, bis er wegen seiner Gebühren und Auslagen befriedigt ist (§ 66 Abs. 3 StBerG). Hinsichtlich der Arbeitsergebnisse gilt ein vertragliches Zurückbehaltungsrecht als vereinbart.</w:t>
            </w:r>
          </w:p>
        </w:tc>
        <w:tc>
          <w:tcPr>
            <w:tcW w:type="dxa" w:w="5103"/>
            <w:tcBorders>
              <w:top w:val="none" w:color="FFFFFF" w:sz="0"/>
              <w:left w:val="single" w:color="D9E2E2" w:sz="4"/>
              <w:bottom w:val="single" w:color="D9E2E2" w:sz="4"/>
              <w:right w:val="single" w:color="D9E2E2" w:sz="4"/>
            </w:tcBorders>
            <w:tcMar>
              <w:top w:type="dxa" w:w="0"/>
              <w:left w:type="dxa" w:w="170"/>
              <w:bottom w:type="dxa" w:w="110"/>
              <w:right w:type="dxa" w:w="170"/>
            </w:tcMar>
          </w:tcPr>
          <w:p>
            <w:pPr>
              <w:tabs>
                <w:tab w:val="left" w:pos="380"/>
              </w:tabs>
              <w:spacing w:after="60" w:line="264"/>
              <w:ind w:left="380" w:hanging="380"/>
            </w:pPr>
            <w:r>
              <w:rPr>
                <w:rFonts w:ascii="Inter" w:cs="Inter" w:eastAsia="Inter" w:hAnsi="Inter"/>
                <w:b/>
                <w:bCs/>
                <w:color w:val="1F4B47"/>
                <w:sz w:val="17"/>
                <w:szCs w:val="17"/>
              </w:rPr>
              <w:t xml:space="preserve">(2)</w:t>
            </w:r>
            <w:r>
              <w:rPr>
                <w:rFonts w:ascii="Inter" w:cs="Inter" w:eastAsia="Inter" w:hAnsi="Inter"/>
                <w:color w:val="222222"/>
                <w:sz w:val="17"/>
                <w:szCs w:val="17"/>
              </w:rPr>
              <w:t xml:space="preserve">	The Tax Advisor may refuse to hand over the documents until the Tax Advisor’s fees and expenses have been paid (§ 66 (3) StBerG). With regard to the work results, a contractual right of retention is deemed agreed.</w:t>
            </w:r>
          </w:p>
        </w:tc>
      </w:tr>
      <w:tr>
        <w:trPr>
          <w:cantSplit/>
        </w:trPr>
        <w:tc>
          <w:tcPr>
            <w:tcW w:type="dxa" w:w="5103"/>
            <w:tcBorders>
              <w:top w:val="single" w:color="D9E2E2" w:sz="4"/>
              <w:left w:val="single" w:color="D9E2E2" w:sz="4"/>
              <w:bottom w:val="none" w:color="FFFFFF" w:sz="0"/>
              <w:right w:val="single" w:color="D9E2E2" w:sz="4"/>
            </w:tcBorders>
            <w:tcMar>
              <w:top w:type="dxa" w:w="120"/>
              <w:left w:type="dxa" w:w="170"/>
              <w:bottom w:type="dxa" w:w="0"/>
              <w:right w:type="dxa" w:w="170"/>
            </w:tcMar>
          </w:tcPr>
          <w:p>
            <w:pPr>
              <w:spacing w:after="80"/>
            </w:pPr>
            <w:r>
              <w:rPr>
                <w:rFonts w:ascii="Inter" w:cs="Inter" w:eastAsia="Inter" w:hAnsi="Inter"/>
                <w:b/>
                <w:bCs/>
                <w:color w:val="1F4B47"/>
                <w:sz w:val="19"/>
                <w:szCs w:val="19"/>
              </w:rPr>
              <w:t xml:space="preserve">12  </w:t>
            </w:r>
            <w:r>
              <w:rPr>
                <w:rFonts w:ascii="Inter" w:cs="Inter" w:eastAsia="Inter" w:hAnsi="Inter"/>
                <w:b/>
                <w:bCs/>
                <w:color w:val="123330"/>
                <w:sz w:val="19"/>
                <w:szCs w:val="19"/>
              </w:rPr>
              <w:t xml:space="preserve">Gerichtsstand, Erfüllungsort, Information VSBG</w:t>
            </w:r>
          </w:p>
          <w:p>
            <w:pPr>
              <w:tabs>
                <w:tab w:val="left" w:pos="380"/>
              </w:tabs>
              <w:spacing w:after="60" w:line="264"/>
              <w:ind w:left="380" w:hanging="380"/>
            </w:pPr>
            <w:r>
              <w:rPr>
                <w:rFonts w:ascii="Inter" w:cs="Inter" w:eastAsia="Inter" w:hAnsi="Inter"/>
                <w:b/>
                <w:bCs/>
                <w:color w:val="1F4B47"/>
                <w:sz w:val="17"/>
                <w:szCs w:val="17"/>
              </w:rPr>
              <w:t xml:space="preserve">(1)</w:t>
            </w:r>
            <w:r>
              <w:rPr>
                <w:rFonts w:ascii="Inter" w:cs="Inter" w:eastAsia="Inter" w:hAnsi="Inter"/>
                <w:color w:val="222222"/>
                <w:sz w:val="17"/>
                <w:szCs w:val="17"/>
              </w:rPr>
              <w:t xml:space="preserve">	Für den Auftrag, seine Ausführung und sich hieraus ergebende Ansprüche gilt ausschließlich deutsches Recht. Erfüllungsort und Gerichtsstand ist, sofern der Auftraggeber Kaufmann, juristische Person des öffentlichen Rechts oder öffentlich-rechtliches Sondervermögen ist, die berufliche Niederlassung des Steuerberaters. Dies gilt auch für den Fall, dass der Auftraggeber nach Auftragserteilung seinen Wohnsitz oder gewöhnlichen Aufenthaltsort in das Ausland verlegt oder der Wohnsitz oder gewöhnliche Aufenthaltsort im Zeitpunkt der Klageerhebung nicht bekannt sind.</w:t>
            </w:r>
          </w:p>
        </w:tc>
        <w:tc>
          <w:tcPr>
            <w:tcW w:type="dxa" w:w="5103"/>
            <w:tcBorders>
              <w:top w:val="single" w:color="D9E2E2" w:sz="4"/>
              <w:left w:val="single" w:color="D9E2E2" w:sz="4"/>
              <w:bottom w:val="none" w:color="FFFFFF" w:sz="0"/>
              <w:right w:val="single" w:color="D9E2E2" w:sz="4"/>
            </w:tcBorders>
            <w:tcMar>
              <w:top w:type="dxa" w:w="120"/>
              <w:left w:type="dxa" w:w="170"/>
              <w:bottom w:type="dxa" w:w="0"/>
              <w:right w:type="dxa" w:w="170"/>
            </w:tcMar>
          </w:tcPr>
          <w:p>
            <w:pPr>
              <w:spacing w:after="80"/>
            </w:pPr>
            <w:r>
              <w:rPr>
                <w:rFonts w:ascii="Inter" w:cs="Inter" w:eastAsia="Inter" w:hAnsi="Inter"/>
                <w:b/>
                <w:bCs/>
                <w:color w:val="1F4B47"/>
                <w:sz w:val="19"/>
                <w:szCs w:val="19"/>
              </w:rPr>
              <w:t xml:space="preserve">12  </w:t>
            </w:r>
            <w:r>
              <w:rPr>
                <w:rFonts w:ascii="Inter" w:cs="Inter" w:eastAsia="Inter" w:hAnsi="Inter"/>
                <w:b/>
                <w:bCs/>
                <w:color w:val="123330"/>
                <w:sz w:val="19"/>
                <w:szCs w:val="19"/>
              </w:rPr>
              <w:t xml:space="preserve">Place of Jurisdiction, Place of Performance, Information under the VSBG</w:t>
            </w:r>
          </w:p>
          <w:p>
            <w:pPr>
              <w:tabs>
                <w:tab w:val="left" w:pos="380"/>
              </w:tabs>
              <w:spacing w:after="60" w:line="264"/>
              <w:ind w:left="380" w:hanging="380"/>
            </w:pPr>
            <w:r>
              <w:rPr>
                <w:rFonts w:ascii="Inter" w:cs="Inter" w:eastAsia="Inter" w:hAnsi="Inter"/>
                <w:b/>
                <w:bCs/>
                <w:color w:val="1F4B47"/>
                <w:sz w:val="17"/>
                <w:szCs w:val="17"/>
              </w:rPr>
              <w:t xml:space="preserve">(1)</w:t>
            </w:r>
            <w:r>
              <w:rPr>
                <w:rFonts w:ascii="Inter" w:cs="Inter" w:eastAsia="Inter" w:hAnsi="Inter"/>
                <w:color w:val="222222"/>
                <w:sz w:val="17"/>
                <w:szCs w:val="17"/>
              </w:rPr>
              <w:t xml:space="preserve">	The engagement, its performance and any claims arising from it are governed exclusively by German law. Where the Client is a merchant (Kaufmann), a legal entity under public law or a special fund under public law, the place of performance and place of jurisdiction is the Tax Advisor’s professional establishment. This also applies if, after the engagement has been issued, the Client moves their residence or habitual abode abroad, or if their residence or habitual abode is not known at the time the action is filed.</w:t>
            </w:r>
          </w:p>
        </w:tc>
      </w:tr>
      <w:tr>
        <w:trPr>
          <w:cantSplit/>
        </w:trPr>
        <w:tc>
          <w:tcPr>
            <w:tcW w:type="dxa" w:w="5103"/>
            <w:tcBorders>
              <w:top w:val="none" w:color="FFFFFF" w:sz="0"/>
              <w:left w:val="single" w:color="D9E2E2" w:sz="4"/>
              <w:bottom w:val="single" w:color="D9E2E2" w:sz="4"/>
              <w:right w:val="single" w:color="D9E2E2" w:sz="4"/>
            </w:tcBorders>
            <w:tcMar>
              <w:top w:type="dxa" w:w="0"/>
              <w:left w:type="dxa" w:w="170"/>
              <w:bottom w:type="dxa" w:w="110"/>
              <w:right w:type="dxa" w:w="170"/>
            </w:tcMar>
          </w:tcPr>
          <w:p>
            <w:pPr>
              <w:tabs>
                <w:tab w:val="left" w:pos="380"/>
              </w:tabs>
              <w:spacing w:after="60" w:line="264"/>
              <w:ind w:left="380" w:hanging="380"/>
            </w:pPr>
            <w:r>
              <w:rPr>
                <w:rFonts w:ascii="Inter" w:cs="Inter" w:eastAsia="Inter" w:hAnsi="Inter"/>
                <w:b/>
                <w:bCs/>
                <w:color w:val="1F4B47"/>
                <w:sz w:val="17"/>
                <w:szCs w:val="17"/>
              </w:rPr>
              <w:t xml:space="preserve">(2)</w:t>
            </w:r>
            <w:r>
              <w:rPr>
                <w:rFonts w:ascii="Inter" w:cs="Inter" w:eastAsia="Inter" w:hAnsi="Inter"/>
                <w:color w:val="222222"/>
                <w:sz w:val="17"/>
                <w:szCs w:val="17"/>
              </w:rPr>
              <w:t xml:space="preserve">	Der Steuerberater ist nicht bereit, an einem Streitbeilegungsverfahren vor einer Verbraucherschlichtungsstelle teilzunehmen (§§ 36, 37 VSBG).</w:t>
            </w:r>
          </w:p>
        </w:tc>
        <w:tc>
          <w:tcPr>
            <w:tcW w:type="dxa" w:w="5103"/>
            <w:tcBorders>
              <w:top w:val="none" w:color="FFFFFF" w:sz="0"/>
              <w:left w:val="single" w:color="D9E2E2" w:sz="4"/>
              <w:bottom w:val="single" w:color="D9E2E2" w:sz="4"/>
              <w:right w:val="single" w:color="D9E2E2" w:sz="4"/>
            </w:tcBorders>
            <w:tcMar>
              <w:top w:type="dxa" w:w="0"/>
              <w:left w:type="dxa" w:w="170"/>
              <w:bottom w:type="dxa" w:w="110"/>
              <w:right w:type="dxa" w:w="170"/>
            </w:tcMar>
          </w:tcPr>
          <w:p>
            <w:pPr>
              <w:tabs>
                <w:tab w:val="left" w:pos="380"/>
              </w:tabs>
              <w:spacing w:after="60" w:line="264"/>
              <w:ind w:left="380" w:hanging="380"/>
            </w:pPr>
            <w:r>
              <w:rPr>
                <w:rFonts w:ascii="Inter" w:cs="Inter" w:eastAsia="Inter" w:hAnsi="Inter"/>
                <w:b/>
                <w:bCs/>
                <w:color w:val="1F4B47"/>
                <w:sz w:val="17"/>
                <w:szCs w:val="17"/>
              </w:rPr>
              <w:t xml:space="preserve">(2)</w:t>
            </w:r>
            <w:r>
              <w:rPr>
                <w:rFonts w:ascii="Inter" w:cs="Inter" w:eastAsia="Inter" w:hAnsi="Inter"/>
                <w:color w:val="222222"/>
                <w:sz w:val="17"/>
                <w:szCs w:val="17"/>
              </w:rPr>
              <w:t xml:space="preserve">	The Tax Advisor is not willing to participate in dispute resolution proceedings before a consumer arbitration board (§§ 36, 37 VSBG).</w:t>
            </w:r>
          </w:p>
        </w:tc>
      </w:tr>
      <w:tr>
        <w:trPr>
          <w:cantSplit/>
        </w:trPr>
        <w:tc>
          <w:tcPr>
            <w:tcW w:type="dxa" w:w="5103"/>
            <w:tcBorders>
              <w:top w:val="single" w:color="D9E2E2" w:sz="4"/>
              <w:left w:val="single" w:color="D9E2E2" w:sz="4"/>
              <w:bottom w:val="single" w:color="D9E2E2" w:sz="4"/>
              <w:right w:val="single" w:color="D9E2E2" w:sz="4"/>
            </w:tcBorders>
            <w:tcMar>
              <w:top w:type="dxa" w:w="120"/>
              <w:left w:type="dxa" w:w="170"/>
              <w:bottom w:type="dxa" w:w="110"/>
              <w:right w:type="dxa" w:w="170"/>
            </w:tcMar>
          </w:tcPr>
          <w:p>
            <w:pPr>
              <w:spacing w:after="80"/>
            </w:pPr>
            <w:r>
              <w:rPr>
                <w:rFonts w:ascii="Inter" w:cs="Inter" w:eastAsia="Inter" w:hAnsi="Inter"/>
                <w:b/>
                <w:bCs/>
                <w:color w:val="1F4B47"/>
                <w:sz w:val="19"/>
                <w:szCs w:val="19"/>
              </w:rPr>
              <w:t xml:space="preserve">13  </w:t>
            </w:r>
            <w:r>
              <w:rPr>
                <w:rFonts w:ascii="Inter" w:cs="Inter" w:eastAsia="Inter" w:hAnsi="Inter"/>
                <w:b/>
                <w:bCs/>
                <w:color w:val="123330"/>
                <w:sz w:val="19"/>
                <w:szCs w:val="19"/>
              </w:rPr>
              <w:t xml:space="preserve">Wirksamkeit bei Teilnichtigkeit</w:t>
            </w:r>
          </w:p>
          <w:p>
            <w:pPr>
              <w:spacing w:after="60" w:line="264"/>
            </w:pPr>
            <w:r>
              <w:rPr>
                <w:rFonts w:ascii="Inter" w:cs="Inter" w:eastAsia="Inter" w:hAnsi="Inter"/>
                <w:color w:val="222222"/>
                <w:sz w:val="17"/>
                <w:szCs w:val="17"/>
              </w:rPr>
              <w:t xml:space="preserve">Sollten einzelne Bestimmungen dieser Geschäftsbedingungen unwirksam sein oder werden, wird die Wirksamkeit der übrigen Bestimmungen dadurch nicht berührt.</w:t>
            </w:r>
          </w:p>
        </w:tc>
        <w:tc>
          <w:tcPr>
            <w:tcW w:type="dxa" w:w="5103"/>
            <w:tcBorders>
              <w:top w:val="single" w:color="D9E2E2" w:sz="4"/>
              <w:left w:val="single" w:color="D9E2E2" w:sz="4"/>
              <w:bottom w:val="single" w:color="D9E2E2" w:sz="4"/>
              <w:right w:val="single" w:color="D9E2E2" w:sz="4"/>
            </w:tcBorders>
            <w:tcMar>
              <w:top w:type="dxa" w:w="120"/>
              <w:left w:type="dxa" w:w="170"/>
              <w:bottom w:type="dxa" w:w="110"/>
              <w:right w:type="dxa" w:w="170"/>
            </w:tcMar>
          </w:tcPr>
          <w:p>
            <w:pPr>
              <w:spacing w:after="80"/>
            </w:pPr>
            <w:r>
              <w:rPr>
                <w:rFonts w:ascii="Inter" w:cs="Inter" w:eastAsia="Inter" w:hAnsi="Inter"/>
                <w:b/>
                <w:bCs/>
                <w:color w:val="1F4B47"/>
                <w:sz w:val="19"/>
                <w:szCs w:val="19"/>
              </w:rPr>
              <w:t xml:space="preserve">13  </w:t>
            </w:r>
            <w:r>
              <w:rPr>
                <w:rFonts w:ascii="Inter" w:cs="Inter" w:eastAsia="Inter" w:hAnsi="Inter"/>
                <w:b/>
                <w:bCs/>
                <w:color w:val="123330"/>
                <w:sz w:val="19"/>
                <w:szCs w:val="19"/>
              </w:rPr>
              <w:t xml:space="preserve">Validity in the Event of Partial Invalidity</w:t>
            </w:r>
          </w:p>
          <w:p>
            <w:pPr>
              <w:spacing w:after="60" w:line="264"/>
            </w:pPr>
            <w:r>
              <w:rPr>
                <w:rFonts w:ascii="Inter" w:cs="Inter" w:eastAsia="Inter" w:hAnsi="Inter"/>
                <w:color w:val="222222"/>
                <w:sz w:val="17"/>
                <w:szCs w:val="17"/>
              </w:rPr>
              <w:t xml:space="preserve">Should individual provisions of these terms and conditions be or become invalid, the validity of the remaining provisions shall not be affected.</w:t>
            </w:r>
          </w:p>
        </w:tc>
      </w:tr>
    </w:tbl>
    <w:sectPr>
      <w:headerReference w:type="even" r:id="rId50"/>
      <w:headerReference w:type="default" r:id="rId50"/>
      <w:headerReference w:type="first" r:id="rId50"/>
      <w:footerReference w:type="even" r:id="rId5"/>
      <w:footerReference w:type="default" r:id="rId6"/>
      <w:footerReference w:type="first" r:id="rId7"/>
      <w:type w:val="nextPage"/>
      <w:pgSz w:w="11906" w:h="16838"/>
      <w:pgMar w:left="850" w:right="850" w:gutter="0" w:header="450" w:top="1100" w:footer="400" w:bottom="900"/>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Inter">
    <w:charset w:val="01"/>
    <w:family w:val="roman"/>
    <w:pitch w:val="variable"/>
  </w:font>
  <w:font w:name="Liberation Sans">
    <w:altName w:val="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20"/>
        <w:tab w:val="right" w:pos="10206" w:leader="none"/>
      </w:tabs>
      <w:rPr/>
    </w:pPr>
    <w:r>
      <w:rPr>
        <w:i/>
        <w:iCs/>
        <w:color w:val="888888"/>
        <w:sz w:val="14"/>
        <w:szCs w:val="14"/>
      </w:rPr>
      <w:t>HireGermany · hiregermany.com · Employ directly in Germany — no subsidiary, no EoR needed</w:t>
    </w:r>
    <w:r>
      <w:rPr>
        <w:color w:val="888888"/>
        <w:sz w:val="14"/>
        <w:szCs w:val="14"/>
      </w:rPr>
      <w:tab/>
      <w:t xml:space="preserve">Seite / Page </w:t>
    </w:r>
    <w:r>
      <w:rPr>
        <w:color w:val="888888"/>
        <w:sz w:val="14"/>
        <w:szCs w:val="14"/>
      </w:rPr>
      <w:fldChar w:fldCharType="begin"/>
    </w:r>
    <w:r>
      <w:rPr>
        <w:sz w:val="14"/>
        <w:szCs w:val="14"/>
        <w:color w:val="888888"/>
      </w:rPr>
      <w:instrText xml:space="preserve"> PAGE </w:instrText>
    </w:r>
    <w:r>
      <w:rPr>
        <w:sz w:val="14"/>
        <w:szCs w:val="14"/>
        <w:color w:val="888888"/>
      </w:rPr>
      <w:fldChar w:fldCharType="separate"/>
    </w:r>
    <w:r>
      <w:rPr>
        <w:sz w:val="14"/>
        <w:szCs w:val="14"/>
        <w:color w:val="888888"/>
      </w:rPr>
      <w:t>6</w:t>
    </w:r>
    <w:r>
      <w:rPr>
        <w:sz w:val="14"/>
        <w:szCs w:val="14"/>
        <w:color w:val="888888"/>
      </w:rPr>
      <w:fldChar w:fldCharType="end"/>
    </w:r>
    <w:r>
      <w:rPr>
        <w:color w:val="888888"/>
        <w:sz w:val="14"/>
        <w:szCs w:val="14"/>
      </w:rPr>
      <w:t xml:space="preserve"> / </w:t>
    </w:r>
    <w:r>
      <w:rPr>
        <w:color w:val="888888"/>
        <w:sz w:val="14"/>
        <w:szCs w:val="14"/>
      </w:rPr>
      <w:fldChar w:fldCharType="begin"/>
    </w:r>
    <w:r>
      <w:rPr>
        <w:sz w:val="14"/>
        <w:szCs w:val="14"/>
        <w:color w:val="888888"/>
      </w:rPr>
      <w:instrText xml:space="preserve"> NUMPAGES </w:instrText>
    </w:r>
    <w:r>
      <w:rPr>
        <w:sz w:val="14"/>
        <w:szCs w:val="14"/>
        <w:color w:val="888888"/>
      </w:rPr>
      <w:fldChar w:fldCharType="separate"/>
    </w:r>
    <w:r>
      <w:rPr>
        <w:sz w:val="14"/>
        <w:szCs w:val="14"/>
        <w:color w:val="888888"/>
      </w:rPr>
      <w:t>6</w:t>
    </w:r>
    <w:r>
      <w:rPr>
        <w:sz w:val="14"/>
        <w:szCs w:val="14"/>
        <w:color w:val="888888"/>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20"/>
        <w:tab w:val="right" w:pos="10206" w:leader="none"/>
      </w:tabs>
      <w:rPr/>
    </w:pPr>
    <w:r>
      <w:rPr>
        <w:i/>
        <w:iCs/>
        <w:color w:val="888888"/>
        <w:sz w:val="14"/>
        <w:szCs w:val="14"/>
      </w:rPr>
      <w:t>HireGermany · hiregermany.com · Employ directly in Germany — no subsidiary, no EoR needed</w:t>
    </w:r>
    <w:r>
      <w:rPr>
        <w:color w:val="888888"/>
        <w:sz w:val="14"/>
        <w:szCs w:val="14"/>
      </w:rPr>
      <w:tab/>
      <w:t xml:space="preserve">Seite / Page </w:t>
    </w:r>
    <w:r>
      <w:rPr>
        <w:color w:val="888888"/>
        <w:sz w:val="14"/>
        <w:szCs w:val="14"/>
      </w:rPr>
      <w:fldChar w:fldCharType="begin"/>
    </w:r>
    <w:r>
      <w:rPr>
        <w:sz w:val="14"/>
        <w:szCs w:val="14"/>
        <w:color w:val="888888"/>
      </w:rPr>
      <w:instrText xml:space="preserve"> PAGE </w:instrText>
    </w:r>
    <w:r>
      <w:rPr>
        <w:sz w:val="14"/>
        <w:szCs w:val="14"/>
        <w:color w:val="888888"/>
      </w:rPr>
      <w:fldChar w:fldCharType="separate"/>
    </w:r>
    <w:r>
      <w:rPr>
        <w:sz w:val="14"/>
        <w:szCs w:val="14"/>
        <w:color w:val="888888"/>
      </w:rPr>
      <w:t>6</w:t>
    </w:r>
    <w:r>
      <w:rPr>
        <w:sz w:val="14"/>
        <w:szCs w:val="14"/>
        <w:color w:val="888888"/>
      </w:rPr>
      <w:fldChar w:fldCharType="end"/>
    </w:r>
    <w:r>
      <w:rPr>
        <w:color w:val="888888"/>
        <w:sz w:val="14"/>
        <w:szCs w:val="14"/>
      </w:rPr>
      <w:t xml:space="preserve"> / </w:t>
    </w:r>
    <w:r>
      <w:rPr>
        <w:color w:val="888888"/>
        <w:sz w:val="14"/>
        <w:szCs w:val="14"/>
      </w:rPr>
      <w:fldChar w:fldCharType="begin"/>
    </w:r>
    <w:r>
      <w:rPr>
        <w:sz w:val="14"/>
        <w:szCs w:val="14"/>
        <w:color w:val="888888"/>
      </w:rPr>
      <w:instrText xml:space="preserve"> NUMPAGES </w:instrText>
    </w:r>
    <w:r>
      <w:rPr>
        <w:sz w:val="14"/>
        <w:szCs w:val="14"/>
        <w:color w:val="888888"/>
      </w:rPr>
      <w:fldChar w:fldCharType="separate"/>
    </w:r>
    <w:r>
      <w:rPr>
        <w:sz w:val="14"/>
        <w:szCs w:val="14"/>
        <w:color w:val="888888"/>
      </w:rPr>
      <w:t>6</w:t>
    </w:r>
    <w:r>
      <w:rPr>
        <w:sz w:val="14"/>
        <w:szCs w:val="14"/>
        <w:color w:val="888888"/>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20"/>
        <w:tab w:val="right" w:pos="10206" w:leader="none"/>
      </w:tabs>
      <w:rPr/>
    </w:pPr>
    <w:r>
      <w:rPr/>
      <w:drawing>
        <wp:inline distT="0" distB="0" distL="0" distR="0">
          <wp:extent cx="209550" cy="20955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1"/>
                  <a:stretch>
                    <a:fillRect/>
                  </a:stretch>
                </pic:blipFill>
                <pic:spPr bwMode="auto">
                  <a:xfrm>
                    <a:off x="0" y="0"/>
                    <a:ext cx="209550" cy="209550"/>
                  </a:xfrm>
                  <a:prstGeom prst="rect">
                    <a:avLst/>
                  </a:prstGeom>
                </pic:spPr>
              </pic:pic>
            </a:graphicData>
          </a:graphic>
        </wp:inline>
      </w:drawing>
    </w:r>
    <w:r>
      <w:rPr>
        <w:b/>
        <w:bCs/>
        <w:color w:val="123330"/>
        <w:sz w:val="26"/>
        <w:szCs w:val="26"/>
      </w:rPr>
      <w:t xml:space="preserve">  </w:t>
    </w:r>
    <w:r>
      <w:rPr>
        <w:b/>
        <w:bCs/>
        <w:color w:val="123330"/>
        <w:sz w:val="26"/>
        <w:szCs w:val="26"/>
      </w:rPr>
      <w:t>HireGermany</w:t>
    </w:r>
    <w:r>
      <w:rPr>
        <w:color w:val="667085"/>
        <w:sz w:val="16"/>
        <w:szCs w:val="16"/>
      </w:rPr>
      <w:t xml:space="preserve">   ·  a TaxGermany product</w:t>
    </w:r>
    <w:r>
      <w:rPr>
        <w:color w:val="667085"/>
        <w:sz w:val="17"/>
        <w:szCs w:val="17"/>
      </w:rPr>
      <w:tab/>
      <w:t>Steuerberatungsvertrag / Tax Advisory Agreement</w:t>
    </w:r>
  </w:p>
  <w:p>
    <w:pPr>
      <w:pStyle w:val="Normal"/>
      <w:pBdr>
        <w:bottom w:val="single" w:sz="12" w:space="6" w:color="1F4B47"/>
      </w:pBdr>
      <w:spacing w:before="60" w:after="0"/>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20"/>
        <w:tab w:val="right" w:pos="10206" w:leader="none"/>
      </w:tabs>
      <w:rPr/>
    </w:pPr>
    <w:r>
      <w:rPr/>
      <w:drawing>
        <wp:inline distT="0" distB="0" distL="0" distR="0">
          <wp:extent cx="209550" cy="209550"/>
          <wp:effectExtent l="0" t="0" r="0" b="0"/>
          <wp:docPr id="2"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 descr=""/>
                  <pic:cNvPicPr>
                    <a:picLocks noChangeAspect="1" noChangeArrowheads="1"/>
                  </pic:cNvPicPr>
                </pic:nvPicPr>
                <pic:blipFill>
                  <a:blip r:embed="rId1"/>
                  <a:stretch>
                    <a:fillRect/>
                  </a:stretch>
                </pic:blipFill>
                <pic:spPr bwMode="auto">
                  <a:xfrm>
                    <a:off x="0" y="0"/>
                    <a:ext cx="209550" cy="209550"/>
                  </a:xfrm>
                  <a:prstGeom prst="rect">
                    <a:avLst/>
                  </a:prstGeom>
                </pic:spPr>
              </pic:pic>
            </a:graphicData>
          </a:graphic>
        </wp:inline>
      </w:drawing>
    </w:r>
    <w:r>
      <w:rPr>
        <w:b/>
        <w:bCs/>
        <w:color w:val="123330"/>
        <w:sz w:val="26"/>
        <w:szCs w:val="26"/>
      </w:rPr>
      <w:t xml:space="preserve">  </w:t>
    </w:r>
    <w:r>
      <w:rPr>
        <w:b/>
        <w:bCs/>
        <w:color w:val="123330"/>
        <w:sz w:val="26"/>
        <w:szCs w:val="26"/>
      </w:rPr>
      <w:t>HireGermany</w:t>
    </w:r>
    <w:r>
      <w:rPr>
        <w:color w:val="667085"/>
        <w:sz w:val="16"/>
        <w:szCs w:val="16"/>
      </w:rPr>
      <w:t xml:space="preserve">   ·  a TaxGermany product</w:t>
    </w:r>
    <w:r>
      <w:rPr>
        <w:color w:val="667085"/>
        <w:sz w:val="17"/>
        <w:szCs w:val="17"/>
      </w:rPr>
      <w:tab/>
      <w:t>Steuerberatungsvertrag / Tax Advisory Agreement</w:t>
    </w:r>
  </w:p>
  <w:p>
    <w:pPr>
      <w:pStyle w:val="Normal"/>
      <w:pBdr>
        <w:bottom w:val="single" w:sz="12" w:space="6" w:color="1F4B47"/>
      </w:pBdr>
      <w:spacing w:before="60" w:after="0"/>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20"/>
        <w:tab w:val="right" w:pos="10206" w:leader="none"/>
      </w:tabs>
      <w:rPr/>
    </w:pPr>
    <w:r>
      <w:rPr/>
      <w:drawing>
        <wp:inline distT="0" distB="0" distL="0" distR="0">
          <wp:extent cx="209550" cy="20955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1"/>
                  <a:stretch>
                    <a:fillRect/>
                  </a:stretch>
                </pic:blipFill>
                <pic:spPr bwMode="auto">
                  <a:xfrm>
                    <a:off x="0" y="0"/>
                    <a:ext cx="209550" cy="209550"/>
                  </a:xfrm>
                  <a:prstGeom prst="rect">
                    <a:avLst/>
                  </a:prstGeom>
                </pic:spPr>
              </pic:pic>
            </a:graphicData>
          </a:graphic>
        </wp:inline>
      </w:drawing>
    </w:r>
    <w:r>
      <w:rPr>
        <w:b/>
        <w:bCs/>
        <w:color w:val="123330"/>
        <w:sz w:val="26"/>
        <w:szCs w:val="26"/>
      </w:rPr>
      <w:t xml:space="preserve">  </w:t>
    </w:r>
    <w:r>
      <w:rPr>
        <w:b/>
        <w:bCs/>
        <w:color w:val="123330"/>
        <w:sz w:val="26"/>
        <w:szCs w:val="26"/>
      </w:rPr>
      <w:t>HireGermany</w:t>
    </w:r>
    <w:r>
      <w:rPr>
        <w:color w:val="667085"/>
        <w:sz w:val="16"/>
        <w:szCs w:val="16"/>
      </w:rPr>
      <w:t xml:space="preserve">   ·  a TaxGermany product</w:t>
    </w:r>
    <w:r>
      <w:rPr>
        <w:color w:val="667085"/>
        <w:sz w:val="17"/>
        <w:szCs w:val="17"/>
      </w:rPr>
      <w:tab/>
      <w:t>Anlage 1: AGB / Annex 1: General Terms and Conditions</w:t>
    </w:r>
  </w:p>
  <w:p>
    <w:pPr>
      <w:pStyle w:val="Normal"/>
      <w:pBdr>
        <w:bottom w:val="single" w:sz="12" w:space="6" w:color="1F4B47"/>
      </w:pBdr>
      <w:spacing w:before="60" w:after="0"/>
      <w:rPr/>
    </w:pPr>
    <w:r>
      <w:rPr/>
    </w:r>
  </w:p>
</w:hdr>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nter" w:hAnsi="Inter" w:eastAsia="Inter" w:cs="Inter"/>
        <w:lang w:val="en-US" w:eastAsia="zh-CN" w:bidi="hi-IN"/>
      </w:rPr>
    </w:rPrDefault>
    <w:pPrDefault>
      <w:pPr>
        <w:suppressAutoHyphens w:val="true"/>
      </w:pPr>
    </w:pPrDefault>
  </w:docDefaults>
  <w:style w:type="paragraph" w:styleId="Normal">
    <w:name w:val="Normal"/>
    <w:qFormat/>
    <w:pPr>
      <w:widowControl/>
      <w:bidi w:val="0"/>
      <w:spacing w:before="0" w:after="0"/>
      <w:jc w:val="left"/>
    </w:pPr>
    <w:rPr>
      <w:rFonts w:ascii="Inter" w:hAnsi="Inter" w:eastAsia="Inter" w:cs="Inter"/>
      <w:color w:val="auto"/>
      <w:kern w:val="0"/>
      <w:sz w:val="20"/>
      <w:szCs w:val="20"/>
      <w:lang w:val="en-US" w:eastAsia="zh-CN" w:bidi="hi-IN"/>
    </w:rPr>
  </w:style>
  <w:style w:type="paragraph" w:styleId="Heading1">
    <w:name w:val="Heading 1"/>
    <w:basedOn w:val="Heading"/>
    <w:qFormat/>
    <w:pPr/>
    <w:rPr>
      <w:color w:val="2E74B5"/>
      <w:sz w:val="32"/>
      <w:szCs w:val="32"/>
    </w:rPr>
  </w:style>
  <w:style w:type="paragraph" w:styleId="Heading2">
    <w:name w:val="Heading 2"/>
    <w:basedOn w:val="Heading"/>
    <w:qFormat/>
    <w:pPr/>
    <w:rPr>
      <w:color w:val="2E74B5"/>
      <w:sz w:val="26"/>
      <w:szCs w:val="26"/>
    </w:rPr>
  </w:style>
  <w:style w:type="paragraph" w:styleId="Heading3">
    <w:name w:val="Heading 3"/>
    <w:basedOn w:val="Heading"/>
    <w:qFormat/>
    <w:pPr/>
    <w:rPr>
      <w:color w:val="1F4D78"/>
      <w:sz w:val="24"/>
      <w:szCs w:val="24"/>
    </w:rPr>
  </w:style>
  <w:style w:type="paragraph" w:styleId="Heading4">
    <w:name w:val="Heading 4"/>
    <w:basedOn w:val="Heading"/>
    <w:qFormat/>
    <w:pPr/>
    <w:rPr>
      <w:i/>
      <w:iCs/>
      <w:color w:val="2E74B5"/>
    </w:rPr>
  </w:style>
  <w:style w:type="paragraph" w:styleId="Heading5">
    <w:name w:val="Heading 5"/>
    <w:basedOn w:val="Heading"/>
    <w:qFormat/>
    <w:pPr/>
    <w:rPr>
      <w:color w:val="2E74B5"/>
    </w:rPr>
  </w:style>
  <w:style w:type="paragraph" w:styleId="Heading6">
    <w:name w:val="Heading 6"/>
    <w:basedOn w:val="Heading"/>
    <w:qFormat/>
    <w:pPr/>
    <w:rPr>
      <w:color w:val="1F4D78"/>
    </w:rPr>
  </w:style>
  <w:style w:type="character" w:styleId="Hyperlink">
    <w:name w:val="Hyperlink"/>
    <w:uiPriority w:val="99"/>
    <w:unhideWhenUsed/>
    <w:rPr>
      <w:color w:val="0563C1"/>
      <w:u w:val="single"/>
    </w:rPr>
  </w:style>
  <w:style w:type="character" w:styleId="FootnoteCharacters">
    <w:name w:val="Footnote Characters"/>
    <w:uiPriority w:val="99"/>
    <w:semiHidden/>
    <w:unhideWhenUsed/>
    <w:qFormat/>
    <w:rPr>
      <w:vertAlign w:val="superscript"/>
    </w:rPr>
  </w:style>
  <w:style w:type="character" w:styleId="FootnoteReference">
    <w:name w:val="Footnote Reference"/>
    <w:rPr>
      <w:vertAlign w:val="superscript"/>
    </w:rPr>
  </w:style>
  <w:style w:type="character" w:styleId="FootnoteTextChar">
    <w:name w:val="Footnote Text Char"/>
    <w:link w:val="FootnoteText"/>
    <w:uiPriority w:val="99"/>
    <w:semiHidden/>
    <w:unhideWhenUsed/>
    <w:qFormat/>
    <w:rPr>
      <w:sz w:val="20"/>
      <w:szCs w:val="20"/>
    </w:rPr>
  </w:style>
  <w:style w:type="character" w:styleId="EndnoteCharacters">
    <w:name w:val="Endnote Characters"/>
    <w:uiPriority w:val="99"/>
    <w:semiHidden/>
    <w:unhideWhenUsed/>
    <w:qFormat/>
    <w:rPr>
      <w:vertAlign w:val="superscript"/>
    </w:rPr>
  </w:style>
  <w:style w:type="character" w:styleId="EndnoteReference">
    <w:name w:val="Endnote Reference"/>
    <w:rPr>
      <w:vertAlign w:val="superscript"/>
    </w:rPr>
  </w:style>
  <w:style w:type="character" w:styleId="EndnoteTextChar">
    <w:name w:val="Endnote Text Char"/>
    <w:link w:val="EndnoteText"/>
    <w:uiPriority w:val="99"/>
    <w:semiHidden/>
    <w:unhideWhenUsed/>
    <w:qFormat/>
    <w:rPr>
      <w:sz w:val="20"/>
      <w:szCs w:val="20"/>
    </w:rPr>
  </w:style>
  <w:style w:type="character" w:styleId="LineNumber">
    <w:name w:val="Line Number"/>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Title">
    <w:name w:val="Title"/>
    <w:basedOn w:val="Heading"/>
    <w:qFormat/>
    <w:pPr/>
    <w:rPr>
      <w:sz w:val="56"/>
      <w:szCs w:val="56"/>
    </w:rPr>
  </w:style>
  <w:style w:type="paragraph" w:styleId="StrongEmphasis">
    <w:name w:val="Strong Emphasis"/>
    <w:qFormat/>
    <w:pPr>
      <w:widowControl/>
      <w:bidi w:val="0"/>
      <w:spacing w:before="0" w:after="0"/>
      <w:jc w:val="left"/>
    </w:pPr>
    <w:rPr>
      <w:rFonts w:ascii="Inter" w:hAnsi="Inter" w:eastAsia="Inter" w:cs="Inter"/>
      <w:b/>
      <w:bCs/>
      <w:color w:val="auto"/>
      <w:kern w:val="0"/>
      <w:sz w:val="20"/>
      <w:szCs w:val="20"/>
      <w:lang w:val="en-US" w:eastAsia="zh-CN" w:bidi="hi-IN"/>
    </w:rPr>
  </w:style>
  <w:style w:type="paragraph" w:styleId="ListParagraph">
    <w:name w:val="List Paragraph"/>
    <w:qFormat/>
    <w:pPr>
      <w:widowControl/>
      <w:bidi w:val="0"/>
      <w:spacing w:before="0" w:after="0"/>
      <w:jc w:val="left"/>
    </w:pPr>
    <w:rPr>
      <w:rFonts w:ascii="Inter" w:hAnsi="Inter" w:eastAsia="Inter" w:cs="Inter"/>
      <w:color w:val="auto"/>
      <w:kern w:val="0"/>
      <w:sz w:val="20"/>
      <w:szCs w:val="20"/>
      <w:lang w:val="en-US" w:eastAsia="zh-CN" w:bidi="hi-IN"/>
    </w:rPr>
  </w:style>
  <w:style w:type="paragraph" w:styleId="FootnoteText">
    <w:name w:val="Footnote Text"/>
    <w:basedOn w:val="Normal"/>
    <w:link w:val="FootnoteTextChar"/>
    <w:uiPriority w:val="99"/>
    <w:semiHidden/>
    <w:unhideWhenUsed/>
    <w:pPr>
      <w:spacing w:lineRule="auto" w:line="240" w:before="0" w:after="0"/>
    </w:pPr>
    <w:rPr>
      <w:sz w:val="20"/>
      <w:szCs w:val="20"/>
    </w:rPr>
  </w:style>
  <w:style w:type="paragraph" w:styleId="EndnoteText">
    <w:name w:val="Endnote Text"/>
    <w:basedOn w:val="Normal"/>
    <w:link w:val="EndnoteTextChar"/>
    <w:uiPriority w:val="99"/>
    <w:semiHidden/>
    <w:unhideWhenUsed/>
    <w:pPr>
      <w:spacing w:lineRule="auto" w:line="240" w:before="0" w:after="0"/>
    </w:pPr>
    <w:rPr>
      <w:sz w:val="20"/>
      <w:szCs w:val="20"/>
    </w:rPr>
  </w:style>
  <w:style w:type="paragraph" w:styleId="HeaderandFooter">
    <w:name w:val="Header and Footer"/>
    <w:basedOn w:val="Normal"/>
    <w:qFormat/>
    <w:pPr/>
    <w:rPr/>
  </w:style>
  <w:style w:type="paragraph" w:styleId="Header">
    <w:name w:val="Header"/>
    <w:basedOn w:val="HeaderandFooter"/>
    <w:pPr/>
    <w:rPr/>
  </w:style>
  <w:style w:type="paragraph" w:styleId="Footer">
    <w:name w:val="Footer"/>
    <w:basedOn w:val="HeaderandFooter"/>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 Id="rId50" Type="http://schemas.openxmlformats.org/officeDocument/2006/relationships/header" Target="header4.xml"/></Relationships>
</file>

<file path=word/_rels/header2.xml.rels><?xml version="1.0" encoding="UTF-8"?>
<Relationships xmlns="http://schemas.openxmlformats.org/package/2006/relationships"><Relationship Id="rId1" Type="http://schemas.openxmlformats.org/officeDocument/2006/relationships/image" Target="media/image1.png"/>
</Relationships>
</file>

<file path=word/_rels/header3.xml.rels><?xml version="1.0" encoding="UTF-8"?>
<Relationships xmlns="http://schemas.openxmlformats.org/package/2006/relationships"><Relationship Id="rId1" Type="http://schemas.openxmlformats.org/officeDocument/2006/relationships/image" Target="media/image1.png"/>
</Relationships>
</file>

<file path=word/_rels/header4.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4</Pages>
  <Words>774</Words>
  <Characters>4359</Characters>
  <CharactersWithSpaces>5112</CharactersWithSpaces>
  <Paragraphs>25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2026-09-10T11:09:01Z</dcterms:created>
  <dc:creator>Un-named</dc:creator>
  <dc:description/>
  <dc:language>en-US</dc:language>
  <cp:lastModifiedBy/>
  <dcterms:modified xsi:type="dcterms:W3CDTF">2026-09-24T16:34:16Z</dcterms:modified>
  <cp:revision>2</cp:revision>
  <dc:subject/>
  <dc:title/>
</cp:coreProperties>
</file>