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
      </w:pPr>
      <w:r>
        <w:rPr>
          <w:rFonts w:ascii="Inter" w:cs="Inter" w:eastAsia="Inter" w:hAnsi="Inter"/>
          <w:b/>
          <w:bCs/>
          <w:color w:val="123330"/>
          <w:sz w:val="32"/>
          <w:szCs w:val="32"/>
        </w:rPr>
        <w:t xml:space="preserve">Vollmacht</w:t>
      </w:r>
    </w:p>
    <w:p>
      <w:r>
        <w:rPr>
          <w:rFonts w:ascii="Inter" w:cs="Inter" w:eastAsia="Inter" w:hAnsi="Inter"/>
          <w:b/>
          <w:bCs/>
          <w:i/>
          <w:iCs/>
          <w:color w:val="1F4B47"/>
          <w:sz w:val="26"/>
          <w:szCs w:val="26"/>
        </w:rPr>
        <w:t xml:space="preserve">Power of Attorney</w:t>
      </w:r>
    </w:p>
    <w:p>
      <w:pPr>
        <w:spacing w:before="40"/>
      </w:pPr>
      <w:r>
        <w:rPr>
          <w:rFonts w:ascii="Inter" w:cs="Inter" w:eastAsia="Inter" w:hAnsi="Inter"/>
          <w:i/>
          <w:iCs/>
          <w:color w:val="667085"/>
          <w:sz w:val="16"/>
          <w:szCs w:val="16"/>
        </w:rPr>
        <w:t xml:space="preserve">zur Vertretung gegenüber den Trägern der Sozialversicherung (§ 13 SGB X)</w:t>
      </w:r>
    </w:p>
    <w:p>
      <w:r>
        <w:rPr>
          <w:rFonts w:ascii="Inter" w:cs="Inter" w:eastAsia="Inter" w:hAnsi="Inter"/>
          <w:i/>
          <w:iCs/>
          <w:color w:val="667085"/>
          <w:sz w:val="16"/>
          <w:szCs w:val="16"/>
        </w:rPr>
        <w:t xml:space="preserve">for representation before the German social security institutions (§ 13 SGB X)</w:t>
      </w:r>
    </w:p>
    <w:p>
      <w:pPr>
        <w:spacing w:after="60" w:before="40"/>
      </w:pPr>
      <w:r>
        <w:rPr>
          <w:rFonts w:ascii="Inter" w:cs="Inter" w:eastAsia="Inter" w:hAnsi="Inter"/>
          <w:i/>
          <w:iCs/>
          <w:color w:val="667085"/>
          <w:sz w:val="16"/>
          <w:szCs w:val="16"/>
        </w:rPr>
        <w:t xml:space="preserve">Stand / As of: September 2026</w:t>
      </w:r>
    </w:p>
    <w:p>
      <w:pPr>
        <w:spacing w:after="60"/>
      </w:pPr>
      <w:r>
        <w:rPr>
          <w:rFonts w:ascii="Inter" w:cs="Inter" w:eastAsia="Inter" w:hAnsi="Inter"/>
          <w:color w:val="667085"/>
          <w:sz w:val="15"/>
          <w:szCs w:val="15"/>
        </w:rPr>
        <w:t xml:space="preserve">Maßgeblich ist die deutsche Fassung. The German version is legally binding; the English translation is provided for convenience only.</w:t>
      </w:r>
    </w:p>
    <w:p>
      <w:pPr>
        <w:keepNext/>
        <w:pBdr>
          <w:bottom w:val="single" w:color="1F4B47" w:sz="8" w:space="3"/>
        </w:pBdr>
        <w:spacing w:after="70" w:before="150"/>
      </w:pPr>
      <w:r>
        <w:rPr>
          <w:rFonts w:ascii="Inter" w:cs="Inter" w:eastAsia="Inter" w:hAnsi="Inter"/>
          <w:b/>
          <w:bCs/>
          <w:color w:val="1F4B47"/>
          <w:sz w:val="16"/>
          <w:szCs w:val="16"/>
        </w:rPr>
        <w:t xml:space="preserve">BETEILIGTE</w:t>
      </w:r>
      <w:r>
        <w:rPr>
          <w:rFonts w:ascii="Inter" w:cs="Inter" w:eastAsia="Inter" w:hAnsi="Inter"/>
          <w:color w:val="1F4B47"/>
          <w:sz w:val="16"/>
          <w:szCs w:val="16"/>
        </w:rPr>
        <w:t xml:space="preserve">   /   </w:t>
      </w:r>
      <w:r>
        <w:rPr>
          <w:rFonts w:ascii="Inter" w:cs="Inter" w:eastAsia="Inter" w:hAnsi="Inter"/>
          <w:b/>
          <w:bCs/>
          <w:i/>
          <w:iCs/>
          <w:color w:val="1F4B47"/>
          <w:sz w:val="16"/>
          <w:szCs w:val="16"/>
        </w:rPr>
        <w:t xml:space="preserve">PARTIES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Vollmachtgeber</w:t>
            </w:r>
          </w:p>
          <w:p>
            <w:pPr>
              <w:spacing w:after="50" w:line="232"/>
            </w:pPr>
            <w:r>
              <w:rPr>
                <w:rFonts w:ascii="Inter" w:cs="Inter" w:eastAsia="Inter" w:hAnsi="Inter"/>
                <w:color w:val="222222"/>
                <w:sz w:val="17"/>
                <w:szCs w:val="17"/>
              </w:rPr>
              <w:t xml:space="preserve">[Name des Vollmachtgebers / Firmenname]</w:t>
            </w:r>
          </w:p>
          <w:p>
            <w:pPr>
              <w:spacing w:after="50" w:line="232"/>
            </w:pPr>
            <w:r>
              <w:rPr>
                <w:rFonts w:ascii="Inter" w:cs="Inter" w:eastAsia="Inter" w:hAnsi="Inter"/>
                <w:color w:val="222222"/>
                <w:sz w:val="17"/>
                <w:szCs w:val="17"/>
              </w:rPr>
              <w:t xml:space="preserve">[Anschrift des Vollmachtgebers]</w:t>
            </w:r>
          </w:p>
          <w:p>
            <w:pPr>
              <w:spacing w:after="50" w:line="232"/>
            </w:pPr>
            <w:r>
              <w:rPr>
                <w:rFonts w:ascii="Inter" w:cs="Inter" w:eastAsia="Inter" w:hAnsi="Inter"/>
                <w:color w:val="222222"/>
                <w:sz w:val="17"/>
                <w:szCs w:val="17"/>
              </w:rPr>
              <w:t xml:space="preserve">[Register und Registernummer]</w:t>
            </w:r>
          </w:p>
          <w:p>
            <w:pPr>
              <w:spacing w:after="50" w:line="232"/>
            </w:pPr>
            <w:r>
              <w:rPr>
                <w:rFonts w:ascii="Inter" w:cs="Inter" w:eastAsia="Inter" w:hAnsi="Inter"/>
                <w:color w:val="222222"/>
                <w:sz w:val="17"/>
                <w:szCs w:val="17"/>
              </w:rPr>
              <w:t xml:space="preserve">[Steuernummer / USt-IdNr.]</w:t>
            </w:r>
          </w:p>
          <w:p>
            <w:pPr>
              <w:spacing w:after="50" w:line="232"/>
            </w:pPr>
            <w:r>
              <w:rPr>
                <w:rFonts w:ascii="Inter" w:cs="Inter" w:eastAsia="Inter" w:hAnsi="Inter"/>
                <w:color w:val="222222"/>
                <w:sz w:val="17"/>
                <w:szCs w:val="17"/>
              </w:rPr>
              <w:t xml:space="preserve">vertreten durch [Name, Funktion]</w:t>
            </w:r>
          </w:p>
          <w:p>
            <w:pPr>
              <w:spacing w:after="30"/>
            </w:pPr>
            <w:r>
              <w:rPr>
                <w:rFonts w:ascii="Inter" w:cs="Inter" w:eastAsia="Inter" w:hAnsi="Inter"/>
                <w:color w:val="667085"/>
                <w:sz w:val="17"/>
                <w:szCs w:val="17"/>
              </w:rPr>
              <w:t xml:space="preserve">— nachfolgend „Vollmachtgeber“ —</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Principal</w:t>
            </w:r>
          </w:p>
          <w:p>
            <w:pPr>
              <w:spacing w:after="50" w:line="232"/>
            </w:pPr>
            <w:r>
              <w:rPr>
                <w:rFonts w:ascii="Inter" w:cs="Inter" w:eastAsia="Inter" w:hAnsi="Inter"/>
                <w:color w:val="222222"/>
                <w:sz w:val="17"/>
                <w:szCs w:val="17"/>
              </w:rPr>
              <w:t xml:space="preserve">[Principal name / company name]</w:t>
            </w:r>
          </w:p>
          <w:p>
            <w:pPr>
              <w:spacing w:after="50" w:line="232"/>
            </w:pPr>
            <w:r>
              <w:rPr>
                <w:rFonts w:ascii="Inter" w:cs="Inter" w:eastAsia="Inter" w:hAnsi="Inter"/>
                <w:color w:val="222222"/>
                <w:sz w:val="17"/>
                <w:szCs w:val="17"/>
              </w:rPr>
              <w:t xml:space="preserve">[Principal address]</w:t>
            </w:r>
          </w:p>
          <w:p>
            <w:pPr>
              <w:spacing w:after="50" w:line="232"/>
            </w:pPr>
            <w:r>
              <w:rPr>
                <w:rFonts w:ascii="Inter" w:cs="Inter" w:eastAsia="Inter" w:hAnsi="Inter"/>
                <w:color w:val="222222"/>
                <w:sz w:val="17"/>
                <w:szCs w:val="17"/>
              </w:rPr>
              <w:t xml:space="preserve">[Commercial register and registration number]</w:t>
            </w:r>
          </w:p>
          <w:p>
            <w:pPr>
              <w:spacing w:after="50" w:line="232"/>
            </w:pPr>
            <w:r>
              <w:rPr>
                <w:rFonts w:ascii="Inter" w:cs="Inter" w:eastAsia="Inter" w:hAnsi="Inter"/>
                <w:color w:val="222222"/>
                <w:sz w:val="17"/>
                <w:szCs w:val="17"/>
              </w:rPr>
              <w:t xml:space="preserve">[Tax number / VAT ID]</w:t>
            </w:r>
          </w:p>
          <w:p>
            <w:pPr>
              <w:spacing w:after="50" w:line="232"/>
            </w:pPr>
            <w:r>
              <w:rPr>
                <w:rFonts w:ascii="Inter" w:cs="Inter" w:eastAsia="Inter" w:hAnsi="Inter"/>
                <w:color w:val="222222"/>
                <w:sz w:val="17"/>
                <w:szCs w:val="17"/>
              </w:rPr>
              <w:t xml:space="preserve">represented by [name, position]</w:t>
            </w:r>
          </w:p>
          <w:p>
            <w:pPr>
              <w:spacing w:after="30"/>
            </w:pPr>
            <w:r>
              <w:rPr>
                <w:rFonts w:ascii="Inter" w:cs="Inter" w:eastAsia="Inter" w:hAnsi="Inter"/>
                <w:color w:val="667085"/>
                <w:sz w:val="17"/>
                <w:szCs w:val="17"/>
              </w:rPr>
              <w:t xml:space="preserve">— hereinafter the “Principal” —</w:t>
            </w:r>
          </w:p>
        </w:tc>
      </w:tr>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Bevollmächtigter</w:t>
            </w:r>
          </w:p>
          <w:p>
            <w:pPr>
              <w:spacing w:after="50" w:line="232"/>
            </w:pPr>
            <w:r>
              <w:rPr>
                <w:rFonts w:ascii="Inter" w:cs="Inter" w:eastAsia="Inter" w:hAnsi="Inter"/>
                <w:color w:val="222222"/>
                <w:sz w:val="17"/>
                <w:szCs w:val="17"/>
              </w:rPr>
              <w:t xml:space="preserve">Suat Göydeniz &amp; Grit Birka eGbR</w:t>
            </w:r>
          </w:p>
          <w:p>
            <w:pPr>
              <w:spacing w:after="50" w:line="232"/>
            </w:pPr>
            <w:r>
              <w:rPr>
                <w:rFonts w:ascii="Inter" w:cs="Inter" w:eastAsia="Inter" w:hAnsi="Inter"/>
                <w:color w:val="222222"/>
                <w:sz w:val="17"/>
                <w:szCs w:val="17"/>
              </w:rPr>
              <w:t xml:space="preserve">Manfred-von-Richthofen-Straße 4, D-12101 Berlin</w:t>
            </w:r>
          </w:p>
          <w:p>
            <w:pPr>
              <w:spacing w:after="50" w:line="232"/>
            </w:pPr>
            <w:r>
              <w:rPr>
                <w:rFonts w:ascii="Inter" w:cs="Inter" w:eastAsia="Inter" w:hAnsi="Inter"/>
                <w:color w:val="222222"/>
                <w:sz w:val="17"/>
                <w:szCs w:val="17"/>
              </w:rPr>
              <w:t xml:space="preserve">Tel. 030 35521465 · mail@stb-goeydeniz-birka.de</w:t>
            </w:r>
          </w:p>
          <w:p>
            <w:pPr>
              <w:spacing w:after="30"/>
            </w:pPr>
            <w:r>
              <w:rPr>
                <w:rFonts w:ascii="Inter" w:cs="Inter" w:eastAsia="Inter" w:hAnsi="Inter"/>
                <w:color w:val="667085"/>
                <w:sz w:val="17"/>
                <w:szCs w:val="17"/>
              </w:rPr>
              <w:t xml:space="preserve">— nachfolgend „Bevollmächtigter“ —</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Authorised Representative</w:t>
            </w:r>
          </w:p>
          <w:p>
            <w:pPr>
              <w:spacing w:after="50" w:line="232"/>
            </w:pPr>
            <w:r>
              <w:rPr>
                <w:rFonts w:ascii="Inter" w:cs="Inter" w:eastAsia="Inter" w:hAnsi="Inter"/>
                <w:color w:val="222222"/>
                <w:sz w:val="17"/>
                <w:szCs w:val="17"/>
              </w:rPr>
              <w:t xml:space="preserve">Suat Göydeniz &amp; Grit Birka eGbR</w:t>
            </w:r>
          </w:p>
          <w:p>
            <w:pPr>
              <w:spacing w:after="50" w:line="232"/>
            </w:pPr>
            <w:r>
              <w:rPr>
                <w:rFonts w:ascii="Inter" w:cs="Inter" w:eastAsia="Inter" w:hAnsi="Inter"/>
                <w:color w:val="222222"/>
                <w:sz w:val="17"/>
                <w:szCs w:val="17"/>
              </w:rPr>
              <w:t xml:space="preserve">Manfred-von-Richthofen-Straße 4, D-12101 Berlin</w:t>
            </w:r>
          </w:p>
          <w:p>
            <w:pPr>
              <w:spacing w:after="50" w:line="232"/>
            </w:pPr>
            <w:r>
              <w:rPr>
                <w:rFonts w:ascii="Inter" w:cs="Inter" w:eastAsia="Inter" w:hAnsi="Inter"/>
                <w:color w:val="222222"/>
                <w:sz w:val="17"/>
                <w:szCs w:val="17"/>
              </w:rPr>
              <w:t xml:space="preserve">Tel. +49 30 35521465 · mail@stb-goeydeniz-birka.de</w:t>
            </w:r>
          </w:p>
          <w:p>
            <w:pPr>
              <w:spacing w:after="30"/>
            </w:pPr>
            <w:r>
              <w:rPr>
                <w:rFonts w:ascii="Inter" w:cs="Inter" w:eastAsia="Inter" w:hAnsi="Inter"/>
                <w:color w:val="667085"/>
                <w:sz w:val="17"/>
                <w:szCs w:val="17"/>
              </w:rPr>
              <w:t xml:space="preserve">— hereinafter the “Representative” —</w:t>
            </w:r>
          </w:p>
        </w:tc>
      </w:tr>
    </w:tbl>
    <w:p>
      <w:pPr>
        <w:keepNext/>
        <w:pBdr>
          <w:bottom w:val="single" w:color="1F4B47" w:sz="8" w:space="3"/>
        </w:pBdr>
        <w:spacing w:after="70" w:before="150"/>
      </w:pPr>
      <w:r>
        <w:rPr>
          <w:rFonts w:ascii="Inter" w:cs="Inter" w:eastAsia="Inter" w:hAnsi="Inter"/>
          <w:b/>
          <w:bCs/>
          <w:color w:val="1F4B47"/>
          <w:sz w:val="16"/>
          <w:szCs w:val="16"/>
        </w:rPr>
        <w:t xml:space="preserve">VOLLMACHT</w:t>
      </w:r>
      <w:r>
        <w:rPr>
          <w:rFonts w:ascii="Inter" w:cs="Inter" w:eastAsia="Inter" w:hAnsi="Inter"/>
          <w:color w:val="1F4B47"/>
          <w:sz w:val="16"/>
          <w:szCs w:val="16"/>
        </w:rPr>
        <w:t xml:space="preserve">   /   </w:t>
      </w:r>
      <w:r>
        <w:rPr>
          <w:rFonts w:ascii="Inter" w:cs="Inter" w:eastAsia="Inter" w:hAnsi="Inter"/>
          <w:b/>
          <w:bCs/>
          <w:i/>
          <w:iCs/>
          <w:color w:val="1F4B47"/>
          <w:sz w:val="16"/>
          <w:szCs w:val="16"/>
        </w:rPr>
        <w:t xml:space="preserve">POWER OF ATTORNEY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1 Gegenstand der Vollmacht</w:t>
            </w:r>
          </w:p>
          <w:p>
            <w:pPr>
              <w:spacing w:after="50" w:line="232"/>
            </w:pPr>
            <w:r>
              <w:rPr>
                <w:rFonts w:ascii="Inter" w:cs="Inter" w:eastAsia="Inter" w:hAnsi="Inter"/>
                <w:color w:val="222222"/>
                <w:sz w:val="17"/>
                <w:szCs w:val="17"/>
              </w:rPr>
              <w:t xml:space="preserve">Der Vollmachtgeber bevollmächtigt den Bevollmächtigten, ihn umfassend in allen Angelegenheiten der Sozialversicherung zu vertreten, die sich aus der Beschäftigung von Arbeitnehmern in Deutschland ergeben (§ 13 SGB X). Die Vollmacht ermächtigt zur Abgabe und Entgegennahme von Erklärungen jeder Art gegenüber allen Trägern der Sozialversicherung und sonstigen zuständigen Stellen, insbesondere gegenüber</w:t>
            </w:r>
          </w:p>
          <w:p>
            <w:pPr>
              <w:tabs>
                <w:tab w:val="left" w:pos="300"/>
              </w:tabs>
              <w:spacing w:after="25" w:line="232"/>
              <w:ind w:left="300" w:hanging="300"/>
            </w:pPr>
            <w:r>
              <w:rPr>
                <w:rFonts w:ascii="Inter" w:cs="Inter" w:eastAsia="Inter" w:hAnsi="Inter"/>
                <w:color w:val="222222"/>
                <w:sz w:val="17"/>
                <w:szCs w:val="17"/>
              </w:rPr>
              <w:t xml:space="preserve">–	den Krankenkassen als Einzugsstellen für den Gesamtsozialversicherungsbeitrag, einschließlich der Minijob-Zentrale,</w:t>
            </w:r>
          </w:p>
          <w:p>
            <w:pPr>
              <w:tabs>
                <w:tab w:val="left" w:pos="300"/>
              </w:tabs>
              <w:spacing w:after="25" w:line="232"/>
              <w:ind w:left="300" w:hanging="300"/>
            </w:pPr>
            <w:r>
              <w:rPr>
                <w:rFonts w:ascii="Inter" w:cs="Inter" w:eastAsia="Inter" w:hAnsi="Inter"/>
                <w:color w:val="222222"/>
                <w:sz w:val="17"/>
                <w:szCs w:val="17"/>
              </w:rPr>
              <w:t xml:space="preserve">–	der Deutschen Rentenversicherung,</w:t>
            </w:r>
          </w:p>
          <w:p>
            <w:pPr>
              <w:tabs>
                <w:tab w:val="left" w:pos="300"/>
              </w:tabs>
              <w:spacing w:after="25" w:line="232"/>
              <w:ind w:left="300" w:hanging="300"/>
            </w:pPr>
            <w:r>
              <w:rPr>
                <w:rFonts w:ascii="Inter" w:cs="Inter" w:eastAsia="Inter" w:hAnsi="Inter"/>
                <w:color w:val="222222"/>
                <w:sz w:val="17"/>
                <w:szCs w:val="17"/>
              </w:rPr>
              <w:t xml:space="preserve">–	dem Betriebsnummern-Service der Bundesagentur für Arbeit,</w:t>
            </w:r>
          </w:p>
          <w:p>
            <w:pPr>
              <w:tabs>
                <w:tab w:val="left" w:pos="300"/>
              </w:tabs>
              <w:spacing w:after="25" w:line="232"/>
              <w:ind w:left="300" w:hanging="300"/>
            </w:pPr>
            <w:r>
              <w:rPr>
                <w:rFonts w:ascii="Inter" w:cs="Inter" w:eastAsia="Inter" w:hAnsi="Inter"/>
                <w:color w:val="222222"/>
                <w:sz w:val="17"/>
                <w:szCs w:val="17"/>
              </w:rPr>
              <w:t xml:space="preserve">–	den Trägern der gesetzlichen Unfallversicherung (Berufsgenossenschaften) sowie</w:t>
            </w:r>
          </w:p>
          <w:p>
            <w:pPr>
              <w:tabs>
                <w:tab w:val="left" w:pos="300"/>
              </w:tabs>
              <w:spacing w:after="25" w:line="232"/>
              <w:ind w:left="300" w:hanging="300"/>
            </w:pPr>
            <w:r>
              <w:rPr>
                <w:rFonts w:ascii="Inter" w:cs="Inter" w:eastAsia="Inter" w:hAnsi="Inter"/>
                <w:color w:val="222222"/>
                <w:sz w:val="17"/>
                <w:szCs w:val="17"/>
              </w:rPr>
              <w:t xml:space="preserve">–	der Deutschen Verbindungsstelle Krankenversicherung – Ausland (DVKA) und den sonst für die Feststellung der anzuwendenden Rechtsvorschriften zuständigen Stellen.</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1 Subject Matter</w:t>
            </w:r>
          </w:p>
          <w:p>
            <w:pPr>
              <w:spacing w:after="50" w:line="232"/>
            </w:pPr>
            <w:r>
              <w:rPr>
                <w:rFonts w:ascii="Inter" w:cs="Inter" w:eastAsia="Inter" w:hAnsi="Inter"/>
                <w:color w:val="222222"/>
                <w:sz w:val="17"/>
                <w:szCs w:val="17"/>
              </w:rPr>
              <w:t xml:space="preserve">The Principal authorises the Representative to represent it comprehensively in all social security matters arising from the employment of staff in Germany (§ 13 SGB X). This power of attorney authorises the making and receiving of declarations of any kind vis-à-vis all social security institutions and other competent bodies, in particular</w:t>
            </w:r>
          </w:p>
          <w:p>
            <w:pPr>
              <w:tabs>
                <w:tab w:val="left" w:pos="300"/>
              </w:tabs>
              <w:spacing w:after="25" w:line="232"/>
              <w:ind w:left="300" w:hanging="300"/>
            </w:pPr>
            <w:r>
              <w:rPr>
                <w:rFonts w:ascii="Inter" w:cs="Inter" w:eastAsia="Inter" w:hAnsi="Inter"/>
                <w:color w:val="222222"/>
                <w:sz w:val="17"/>
                <w:szCs w:val="17"/>
              </w:rPr>
              <w:t xml:space="preserve">–	the health insurance funds as collecting agencies for the total social security contribution, including the Minijob-Zentrale,</w:t>
            </w:r>
          </w:p>
          <w:p>
            <w:pPr>
              <w:tabs>
                <w:tab w:val="left" w:pos="300"/>
              </w:tabs>
              <w:spacing w:after="25" w:line="232"/>
              <w:ind w:left="300" w:hanging="300"/>
            </w:pPr>
            <w:r>
              <w:rPr>
                <w:rFonts w:ascii="Inter" w:cs="Inter" w:eastAsia="Inter" w:hAnsi="Inter"/>
                <w:color w:val="222222"/>
                <w:sz w:val="17"/>
                <w:szCs w:val="17"/>
              </w:rPr>
              <w:t xml:space="preserve">–	the German Pension Insurance (Deutsche Rentenversicherung),</w:t>
            </w:r>
          </w:p>
          <w:p>
            <w:pPr>
              <w:tabs>
                <w:tab w:val="left" w:pos="300"/>
              </w:tabs>
              <w:spacing w:after="25" w:line="232"/>
              <w:ind w:left="300" w:hanging="300"/>
            </w:pPr>
            <w:r>
              <w:rPr>
                <w:rFonts w:ascii="Inter" w:cs="Inter" w:eastAsia="Inter" w:hAnsi="Inter"/>
                <w:color w:val="222222"/>
                <w:sz w:val="17"/>
                <w:szCs w:val="17"/>
              </w:rPr>
              <w:t xml:space="preserve">–	the establishment number service (Betriebsnummern-Service) of the Federal Employment Agency,</w:t>
            </w:r>
          </w:p>
          <w:p>
            <w:pPr>
              <w:tabs>
                <w:tab w:val="left" w:pos="300"/>
              </w:tabs>
              <w:spacing w:after="25" w:line="232"/>
              <w:ind w:left="300" w:hanging="300"/>
            </w:pPr>
            <w:r>
              <w:rPr>
                <w:rFonts w:ascii="Inter" w:cs="Inter" w:eastAsia="Inter" w:hAnsi="Inter"/>
                <w:color w:val="222222"/>
                <w:sz w:val="17"/>
                <w:szCs w:val="17"/>
              </w:rPr>
              <w:t xml:space="preserve">–	the statutory accident insurance institutions (Berufsgenossenschaften), and</w:t>
            </w:r>
          </w:p>
          <w:p>
            <w:pPr>
              <w:tabs>
                <w:tab w:val="left" w:pos="300"/>
              </w:tabs>
              <w:spacing w:after="25" w:line="232"/>
              <w:ind w:left="300" w:hanging="300"/>
            </w:pPr>
            <w:r>
              <w:rPr>
                <w:rFonts w:ascii="Inter" w:cs="Inter" w:eastAsia="Inter" w:hAnsi="Inter"/>
                <w:color w:val="222222"/>
                <w:sz w:val="17"/>
                <w:szCs w:val="17"/>
              </w:rPr>
              <w:t xml:space="preserve">–	the German Liaison Agency Health Insurance – International (DVKA) and any other bodies competent to determine the applicable legislation.</w:t>
            </w:r>
          </w:p>
        </w:tc>
      </w:tr>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2 Umfang der Vollmacht</w:t>
            </w:r>
          </w:p>
          <w:p>
            <w:pPr>
              <w:spacing w:after="50" w:line="232"/>
            </w:pPr>
            <w:r>
              <w:rPr>
                <w:rFonts w:ascii="Inter" w:cs="Inter" w:eastAsia="Inter" w:hAnsi="Inter"/>
                <w:color w:val="222222"/>
                <w:sz w:val="17"/>
                <w:szCs w:val="17"/>
              </w:rPr>
              <w:t xml:space="preserve">Die Vollmacht umfasst insbesondere die Ermächtigung</w:t>
            </w:r>
          </w:p>
          <w:p>
            <w:pPr>
              <w:tabs>
                <w:tab w:val="left" w:pos="300"/>
              </w:tabs>
              <w:spacing w:after="25" w:line="232"/>
              <w:ind w:left="300" w:hanging="300"/>
            </w:pPr>
            <w:r>
              <w:rPr>
                <w:rFonts w:ascii="Inter" w:cs="Inter" w:eastAsia="Inter" w:hAnsi="Inter"/>
                <w:color w:val="222222"/>
                <w:sz w:val="17"/>
                <w:szCs w:val="17"/>
              </w:rPr>
              <w:t xml:space="preserve">–	zur Beantragung der Betriebsnummer und zur Anmeldung als Arbeitgeber, einschließlich der Anmeldung beim zuständigen Unfallversicherungsträger,</w:t>
            </w:r>
          </w:p>
          <w:p>
            <w:pPr>
              <w:tabs>
                <w:tab w:val="left" w:pos="300"/>
              </w:tabs>
              <w:spacing w:after="25" w:line="232"/>
              <w:ind w:left="300" w:hanging="300"/>
            </w:pPr>
            <w:r>
              <w:rPr>
                <w:rFonts w:ascii="Inter" w:cs="Inter" w:eastAsia="Inter" w:hAnsi="Inter"/>
                <w:color w:val="222222"/>
                <w:sz w:val="17"/>
                <w:szCs w:val="17"/>
              </w:rPr>
              <w:t xml:space="preserve">–	zur Erstattung sämtlicher Meldungen nach § 28a SGB IV und der DEÜV, zur Übermittlung der Beitragsnachweise sowie der Lohnnachweise an den Unfallversicherungsträger,</w:t>
            </w:r>
          </w:p>
          <w:p>
            <w:pPr>
              <w:tabs>
                <w:tab w:val="left" w:pos="300"/>
              </w:tabs>
              <w:spacing w:after="25" w:line="232"/>
              <w:ind w:left="300" w:hanging="300"/>
            </w:pPr>
            <w:r>
              <w:rPr>
                <w:rFonts w:ascii="Inter" w:cs="Inter" w:eastAsia="Inter" w:hAnsi="Inter"/>
                <w:color w:val="222222"/>
                <w:sz w:val="17"/>
                <w:szCs w:val="17"/>
              </w:rPr>
              <w:t xml:space="preserve">–	zur Stellung von Erstattungsanträgen nach dem Aufwendungsausgleichsgesetz (AAG),</w:t>
            </w:r>
          </w:p>
          <w:p>
            <w:pPr>
              <w:tabs>
                <w:tab w:val="left" w:pos="300"/>
              </w:tabs>
              <w:spacing w:after="25" w:line="232"/>
              <w:ind w:left="300" w:hanging="300"/>
            </w:pPr>
            <w:r>
              <w:rPr>
                <w:rFonts w:ascii="Inter" w:cs="Inter" w:eastAsia="Inter" w:hAnsi="Inter"/>
                <w:color w:val="222222"/>
                <w:sz w:val="17"/>
                <w:szCs w:val="17"/>
              </w:rPr>
              <w:t xml:space="preserve">–	zur Beantragung von Bescheinigungen über die anzuwendenden Rechtsvorschriften (A1) nach der Verordnung (EG) Nr. 883/2004 sowie nach Abkommen über soziale Sicherheit und</w:t>
            </w:r>
          </w:p>
          <w:p>
            <w:pPr>
              <w:tabs>
                <w:tab w:val="left" w:pos="300"/>
              </w:tabs>
              <w:spacing w:after="25" w:line="232"/>
              <w:ind w:left="300" w:hanging="300"/>
            </w:pPr>
            <w:r>
              <w:rPr>
                <w:rFonts w:ascii="Inter" w:cs="Inter" w:eastAsia="Inter" w:hAnsi="Inter"/>
                <w:color w:val="222222"/>
                <w:sz w:val="17"/>
                <w:szCs w:val="17"/>
              </w:rPr>
              <w:t xml:space="preserve">–	zur Vertretung bei Prüfungen nach § 28p SGB IV einschließlich der Schlussbesprechung sowie im Beitragserhebungs- und Vollstreckungsverfahren.</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2 Scope</w:t>
            </w:r>
          </w:p>
          <w:p>
            <w:pPr>
              <w:spacing w:after="50" w:line="232"/>
            </w:pPr>
            <w:r>
              <w:rPr>
                <w:rFonts w:ascii="Inter" w:cs="Inter" w:eastAsia="Inter" w:hAnsi="Inter"/>
                <w:color w:val="222222"/>
                <w:sz w:val="17"/>
                <w:szCs w:val="17"/>
              </w:rPr>
              <w:t xml:space="preserve">This power of attorney includes in particular the authority</w:t>
            </w:r>
          </w:p>
          <w:p>
            <w:pPr>
              <w:tabs>
                <w:tab w:val="left" w:pos="300"/>
              </w:tabs>
              <w:spacing w:after="25" w:line="232"/>
              <w:ind w:left="300" w:hanging="300"/>
            </w:pPr>
            <w:r>
              <w:rPr>
                <w:rFonts w:ascii="Inter" w:cs="Inter" w:eastAsia="Inter" w:hAnsi="Inter"/>
                <w:color w:val="222222"/>
                <w:sz w:val="17"/>
                <w:szCs w:val="17"/>
              </w:rPr>
              <w:t xml:space="preserve">–	to apply for the establishment number (Betriebsnummer) and to register as an employer, including registration with the competent accident insurance institution,</w:t>
            </w:r>
          </w:p>
          <w:p>
            <w:pPr>
              <w:tabs>
                <w:tab w:val="left" w:pos="300"/>
              </w:tabs>
              <w:spacing w:after="25" w:line="232"/>
              <w:ind w:left="300" w:hanging="300"/>
            </w:pPr>
            <w:r>
              <w:rPr>
                <w:rFonts w:ascii="Inter" w:cs="Inter" w:eastAsia="Inter" w:hAnsi="Inter"/>
                <w:color w:val="222222"/>
                <w:sz w:val="17"/>
                <w:szCs w:val="17"/>
              </w:rPr>
              <w:t xml:space="preserve">–	to file all notifications under § 28a SGB IV and the DEÜV, and to submit contribution statements and payroll reports (Lohnnachweise) to the accident insurance institution,</w:t>
            </w:r>
          </w:p>
          <w:p>
            <w:pPr>
              <w:tabs>
                <w:tab w:val="left" w:pos="300"/>
              </w:tabs>
              <w:spacing w:after="25" w:line="232"/>
              <w:ind w:left="300" w:hanging="300"/>
            </w:pPr>
            <w:r>
              <w:rPr>
                <w:rFonts w:ascii="Inter" w:cs="Inter" w:eastAsia="Inter" w:hAnsi="Inter"/>
                <w:color w:val="222222"/>
                <w:sz w:val="17"/>
                <w:szCs w:val="17"/>
              </w:rPr>
              <w:t xml:space="preserve">–	to file reimbursement claims under the Expenditure Compensation Act (AAG),</w:t>
            </w:r>
          </w:p>
          <w:p>
            <w:pPr>
              <w:tabs>
                <w:tab w:val="left" w:pos="300"/>
              </w:tabs>
              <w:spacing w:after="25" w:line="232"/>
              <w:ind w:left="300" w:hanging="300"/>
            </w:pPr>
            <w:r>
              <w:rPr>
                <w:rFonts w:ascii="Inter" w:cs="Inter" w:eastAsia="Inter" w:hAnsi="Inter"/>
                <w:color w:val="222222"/>
                <w:sz w:val="17"/>
                <w:szCs w:val="17"/>
              </w:rPr>
              <w:t xml:space="preserve">–	to apply for certificates concerning the applicable legislation (A1) under Regulation (EC) No 883/2004 and under social security agreements, and</w:t>
            </w:r>
          </w:p>
          <w:p>
            <w:pPr>
              <w:tabs>
                <w:tab w:val="left" w:pos="300"/>
              </w:tabs>
              <w:spacing w:after="25" w:line="232"/>
              <w:ind w:left="300" w:hanging="300"/>
            </w:pPr>
            <w:r>
              <w:rPr>
                <w:rFonts w:ascii="Inter" w:cs="Inter" w:eastAsia="Inter" w:hAnsi="Inter"/>
                <w:color w:val="222222"/>
                <w:sz w:val="17"/>
                <w:szCs w:val="17"/>
              </w:rPr>
              <w:t xml:space="preserve">–	to represent the Principal during audits under § 28p SGB IV, including the final meeting, and in contribution collection and enforcement proceedings.</w:t>
            </w:r>
          </w:p>
        </w:tc>
      </w:tr>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3 Entgeltunterlagen (§ 28f SGB IV)</w:t>
            </w:r>
          </w:p>
          <w:p>
            <w:pPr>
              <w:spacing w:after="50" w:line="232"/>
            </w:pPr>
            <w:r>
              <w:rPr>
                <w:rFonts w:ascii="Inter" w:cs="Inter" w:eastAsia="Inter" w:hAnsi="Inter"/>
                <w:color w:val="222222"/>
                <w:sz w:val="17"/>
                <w:szCs w:val="17"/>
              </w:rPr>
              <w:t xml:space="preserve">Die Entgeltunterlagen und die Beitragsabrechnung werden für den Vollmachtgeber vom Bevollmächtigten in deutscher Sprache geführt und am Sitz des Bevollmächtigten (Anschrift siehe oben) im Inland aufbewahrt (§ 28f Abs. 1 SGB IV). Sie stehen dort den prüfenden Stellen, insbesondere für Prüfungen nach § 28p SGB IV, zur Verfügung. Dies gilt für die Dauer des Mandats. Nach dessen Beendigung werden die Unterlagen an den Vollmachtgeber herausgegeben; ab der Herausgabe obliegt die Aufbewahrung nach § 28f SGB IV dem Vollmachtgeber.</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3 Payroll Records (§ 28f SGB IV)</w:t>
            </w:r>
          </w:p>
          <w:p>
            <w:pPr>
              <w:spacing w:after="50" w:line="232"/>
            </w:pPr>
            <w:r>
              <w:rPr>
                <w:rFonts w:ascii="Inter" w:cs="Inter" w:eastAsia="Inter" w:hAnsi="Inter"/>
                <w:color w:val="222222"/>
                <w:sz w:val="17"/>
                <w:szCs w:val="17"/>
              </w:rPr>
              <w:t xml:space="preserve">The payroll records and contribution accounts are kept on behalf of the Principal by the Representative in German and stored in Germany at the Representative’s office (address above) (§ 28f (1) SGB IV). They are available there to the auditing bodies, in particular for audits under § 28p SGB IV. This applies for the duration of the engagement. After it ends, the records are handed over to the Principal; from handover onwards, retention under § 28f SGB IV is the responsibility of the Principal.</w:t>
            </w:r>
          </w:p>
        </w:tc>
      </w:tr>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4 Bekanntgabe</w:t>
            </w:r>
          </w:p>
          <w:p>
            <w:pPr>
              <w:spacing w:after="50" w:line="232"/>
            </w:pPr>
            <w:r>
              <w:rPr>
                <w:rFonts w:ascii="Inter" w:cs="Inter" w:eastAsia="Inter" w:hAnsi="Inter"/>
                <w:color w:val="222222"/>
                <w:sz w:val="17"/>
                <w:szCs w:val="17"/>
              </w:rPr>
              <w:t xml:space="preserve">Im Verwaltungsverfahren haben sich die Sozialversicherungsträger und sonstigen zuständigen Stellen an den Bevollmächtigten zu wenden (§ 13 Abs. 3 SGB X). Verwaltungsakte, insbesondere Beitragsbescheide, sowie sonstige Mitteilungen können dem Bevollmächtigten bekannt gegeben werden (§ 37 Abs. 1 Satz 2 SGB X). Zur Entgegennahme von Geld ist der Bevollmächtigte nicht berechtigt; Erstattungen und sonstige Zahlungen sind ausschließlich an den Vollmachtgeber zu leisten.</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4 Notification</w:t>
            </w:r>
          </w:p>
          <w:p>
            <w:pPr>
              <w:spacing w:after="50" w:line="232"/>
            </w:pPr>
            <w:r>
              <w:rPr>
                <w:rFonts w:ascii="Inter" w:cs="Inter" w:eastAsia="Inter" w:hAnsi="Inter"/>
                <w:color w:val="222222"/>
                <w:sz w:val="17"/>
                <w:szCs w:val="17"/>
              </w:rPr>
              <w:t xml:space="preserve">In administrative proceedings, the social security institutions and other competent bodies shall address the Representative (§ 13 (3) SGB X). Administrative acts, in particular contribution notices, and other communications may be notified to the Representative (§ 37 (1) sentence 2 SGB X). The Representative is not authorised to receive money; reimbursements and other payments are to be made exclusively to the Principal.</w:t>
            </w:r>
          </w:p>
        </w:tc>
      </w:tr>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5 Stellung des Vollmachtgebers</w:t>
            </w:r>
          </w:p>
          <w:p>
            <w:pPr>
              <w:spacing w:after="50" w:line="232"/>
            </w:pPr>
            <w:r>
              <w:rPr>
                <w:rFonts w:ascii="Inter" w:cs="Inter" w:eastAsia="Inter" w:hAnsi="Inter"/>
                <w:color w:val="222222"/>
                <w:sz w:val="17"/>
                <w:szCs w:val="17"/>
              </w:rPr>
              <w:t xml:space="preserve">Der Vollmachtgeber bleibt Arbeitgeber im Sinne des Sozialversicherungsrechts und Schuldner des Gesamtsozialversicherungsbeitrags (§ 28e SGB IV). Die Zahlung der Beiträge obliegt dem Vollmachtgeber.</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5 Position of the Principal</w:t>
            </w:r>
          </w:p>
          <w:p>
            <w:pPr>
              <w:spacing w:after="50" w:line="232"/>
            </w:pPr>
            <w:r>
              <w:rPr>
                <w:rFonts w:ascii="Inter" w:cs="Inter" w:eastAsia="Inter" w:hAnsi="Inter"/>
                <w:color w:val="222222"/>
                <w:sz w:val="17"/>
                <w:szCs w:val="17"/>
              </w:rPr>
              <w:t xml:space="preserve">The Principal remains the employer within the meaning of social security law and the debtor of the total social security contribution (§ 28e SGB IV). Payment of the contributions remains the responsibility of the Principal.</w:t>
            </w:r>
          </w:p>
        </w:tc>
      </w:tr>
      <w:tr>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6 Dauer und Widerruf</w:t>
            </w:r>
          </w:p>
          <w:p>
            <w:pPr>
              <w:spacing w:after="50" w:line="232"/>
            </w:pPr>
            <w:r>
              <w:rPr>
                <w:rFonts w:ascii="Inter" w:cs="Inter" w:eastAsia="Inter" w:hAnsi="Inter"/>
                <w:color w:val="222222"/>
                <w:sz w:val="17"/>
                <w:szCs w:val="17"/>
              </w:rPr>
              <w:t xml:space="preserve">Die Vollmacht gilt, solange ihr Widerruf den Verfahrensbeteiligten (Sozialversicherungsträgern und sonstigen zuständigen Stellen) nicht schriftlich angezeigt worden ist. Sie bleibt bei Tod des Vollmachtgebers bis zu ihrem Widerruf durch den Erben bzw. die Erben bestehen.</w:t>
            </w:r>
          </w:p>
        </w:tc>
        <w:tc>
          <w:tcPr>
            <w:tcW w:type="dxa" w:w="5103"/>
            <w:tcBorders>
              <w:top w:val="single" w:color="D9E2E2" w:sz="4"/>
              <w:left w:val="single" w:color="D9E2E2" w:sz="4"/>
              <w:bottom w:val="single" w:color="D9E2E2" w:sz="4"/>
              <w:right w:val="single" w:color="D9E2E2" w:sz="4"/>
            </w:tcBorders>
            <w:tcMar>
              <w:top w:type="dxa" w:w="60"/>
              <w:left w:type="dxa" w:w="140"/>
              <w:bottom w:type="dxa" w:w="50"/>
              <w:right w:type="dxa" w:w="140"/>
            </w:tcMar>
          </w:tcPr>
          <w:p>
            <w:pPr>
              <w:spacing w:after="70"/>
            </w:pPr>
            <w:r>
              <w:rPr>
                <w:rFonts w:ascii="Inter" w:cs="Inter" w:eastAsia="Inter" w:hAnsi="Inter"/>
                <w:b/>
                <w:bCs/>
                <w:color w:val="123330"/>
                <w:sz w:val="19"/>
                <w:szCs w:val="19"/>
              </w:rPr>
              <w:t xml:space="preserve">§ 6 Duration and Revocation</w:t>
            </w:r>
          </w:p>
          <w:p>
            <w:pPr>
              <w:spacing w:after="50" w:line="232"/>
            </w:pPr>
            <w:r>
              <w:rPr>
                <w:rFonts w:ascii="Inter" w:cs="Inter" w:eastAsia="Inter" w:hAnsi="Inter"/>
                <w:color w:val="222222"/>
                <w:sz w:val="17"/>
                <w:szCs w:val="17"/>
              </w:rPr>
              <w:t xml:space="preserve">This power of attorney remains in force as long as its revocation has not been notified in writing to the parties involved in the proceedings (social security institutions and other competent bodies). In the event of the Principal’s death, it remains in force until revoked by the heir or heirs.</w:t>
            </w:r>
          </w:p>
        </w:tc>
      </w:tr>
    </w:tbl>
    <w:p>
      <w:pPr>
        <w:keepNext/>
        <w:spacing w:before="60"/>
      </w:pPr>
      <w:r>
        <w:rPr>
          <w:rFonts w:ascii="Inter" w:cs="Inter" w:eastAsia="Inter" w:hAnsi="Inter"/>
          <w:color w:val="222222"/>
          <w:sz w:val="17"/>
          <w:szCs w:val="17"/>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00"/>
        <w:gridCol w:w="400"/>
        <w:gridCol w:w="6806"/>
      </w:tblGrid>
      <w:tr>
        <w:trPr>
          <w:cantSplit/>
          <w:trHeight w:val="560" w:hRule="atLeast"/>
        </w:trPr>
        <w:tc>
          <w:tcPr>
            <w:tcW w:type="dxa" w:w="3000"/>
            <w:tcBorders>
              <w:top w:val="none" w:color="FFFFFF" w:sz="0"/>
              <w:left w:val="none" w:color="FFFFFF" w:sz="0"/>
              <w:bottom w:val="single" w:color="667085" w:sz="6"/>
              <w:right w:val="none" w:color="FFFFFF" w:sz="0"/>
            </w:tcBorders>
          </w:tcPr>
          <w:p>
            <w:r>
              <w:rPr>
                <w:rFonts w:ascii="Inter" w:cs="Inter" w:eastAsia="Inter" w:hAnsi="Inter"/>
                <w:color w:val="222222"/>
                <w:sz w:val="17"/>
                <w:szCs w:val="17"/>
              </w:rPr>
              <w:t xml:space="preserve"/>
            </w:r>
          </w:p>
        </w:tc>
        <w:tc>
          <w:tcPr>
            <w:tcW w:type="dxa" w:w="400"/>
            <w:tcBorders>
              <w:top w:val="none" w:color="FFFFFF" w:sz="0"/>
              <w:left w:val="none" w:color="FFFFFF" w:sz="0"/>
              <w:bottom w:val="none" w:color="FFFFFF" w:sz="0"/>
              <w:right w:val="none" w:color="FFFFFF" w:sz="0"/>
            </w:tcBorders>
          </w:tcPr>
          <w:p>
            <w:r>
              <w:rPr>
                <w:rFonts w:ascii="Inter" w:cs="Inter" w:eastAsia="Inter" w:hAnsi="Inter"/>
                <w:color w:val="222222"/>
                <w:sz w:val="17"/>
                <w:szCs w:val="17"/>
              </w:rPr>
              <w:t xml:space="preserve"/>
            </w:r>
          </w:p>
        </w:tc>
        <w:tc>
          <w:tcPr>
            <w:tcW w:type="dxa" w:w="6806"/>
            <w:tcBorders>
              <w:top w:val="none" w:color="FFFFFF" w:sz="0"/>
              <w:left w:val="none" w:color="FFFFFF" w:sz="0"/>
              <w:bottom w:val="single" w:color="667085" w:sz="6"/>
              <w:right w:val="none" w:color="FFFFFF" w:sz="0"/>
            </w:tcBorders>
          </w:tcPr>
          <w:p>
            <w:r>
              <w:rPr>
                <w:rFonts w:ascii="Inter" w:cs="Inter" w:eastAsia="Inter" w:hAnsi="Inter"/>
                <w:color w:val="222222"/>
                <w:sz w:val="17"/>
                <w:szCs w:val="17"/>
              </w:rPr>
              <w:t xml:space="preserve"/>
            </w:r>
          </w:p>
        </w:tc>
      </w:tr>
      <w:tr>
        <w:tc>
          <w:tcPr>
            <w:tcW w:type="dxa" w:w="3000"/>
            <w:tcBorders>
              <w:top w:val="none" w:color="FFFFFF" w:sz="0"/>
              <w:left w:val="none" w:color="FFFFFF" w:sz="0"/>
              <w:bottom w:val="none" w:color="FFFFFF" w:sz="0"/>
              <w:right w:val="none" w:color="FFFFFF" w:sz="0"/>
            </w:tcBorders>
          </w:tcPr>
          <w:p>
            <w:r>
              <w:rPr>
                <w:rFonts w:ascii="Inter" w:cs="Inter" w:eastAsia="Inter" w:hAnsi="Inter"/>
                <w:color w:val="667085"/>
                <w:sz w:val="14"/>
                <w:szCs w:val="14"/>
              </w:rPr>
              <w:t xml:space="preserve">Ort, Datum / Place, date</w:t>
            </w:r>
          </w:p>
        </w:tc>
        <w:tc>
          <w:tcPr>
            <w:tcW w:type="dxa" w:w="400"/>
            <w:tcBorders>
              <w:top w:val="none" w:color="FFFFFF" w:sz="0"/>
              <w:left w:val="none" w:color="FFFFFF" w:sz="0"/>
              <w:bottom w:val="none" w:color="FFFFFF" w:sz="0"/>
              <w:right w:val="none" w:color="FFFFFF" w:sz="0"/>
            </w:tcBorders>
          </w:tcPr>
          <w:p>
            <w:r>
              <w:rPr>
                <w:rFonts w:ascii="Inter" w:cs="Inter" w:eastAsia="Inter" w:hAnsi="Inter"/>
                <w:color w:val="222222"/>
                <w:sz w:val="17"/>
                <w:szCs w:val="17"/>
              </w:rPr>
              <w:t xml:space="preserve"/>
            </w:r>
          </w:p>
        </w:tc>
        <w:tc>
          <w:tcPr>
            <w:tcW w:type="dxa" w:w="6806"/>
            <w:tcBorders>
              <w:top w:val="none" w:color="FFFFFF" w:sz="0"/>
              <w:left w:val="none" w:color="FFFFFF" w:sz="0"/>
              <w:bottom w:val="none" w:color="FFFFFF" w:sz="0"/>
              <w:right w:val="none" w:color="FFFFFF" w:sz="0"/>
            </w:tcBorders>
          </w:tcPr>
          <w:p>
            <w:r>
              <w:rPr>
                <w:rFonts w:ascii="Inter" w:cs="Inter" w:eastAsia="Inter" w:hAnsi="Inter"/>
                <w:color w:val="667085"/>
                <w:sz w:val="14"/>
                <w:szCs w:val="14"/>
              </w:rPr>
              <w:t xml:space="preserve">Unterschrift, Name und Funktion des Vollmachtgebers (ggf. Firmenstempel) / Signature, name and position of the Principal (company stamp, if any)</w:t>
            </w:r>
          </w:p>
        </w:tc>
      </w:tr>
    </w:tbl>
    <w:sectPr>
      <w:headerReference w:type="default" r:id="rId7"/>
      <w:footerReference w:type="default" r:id="rId8"/>
      <w:pgSz w:w="11906" w:h="16838" w:orient="portrait"/>
      <w:pgMar w:top="900" w:right="850" w:bottom="700" w:left="85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pPr>
    <w:r>
      <w:rPr>
        <w:rFonts w:ascii="Inter" w:cs="Inter" w:eastAsia="Inter" w:hAnsi="Inter"/>
        <w:i/>
        <w:iCs/>
        <w:color w:val="888888"/>
        <w:sz w:val="14"/>
        <w:szCs w:val="14"/>
      </w:rPr>
      <w:t xml:space="preserve">HireGermany · hiregermany.com · Employ directly in Germany — no subsidiary, no EoR needed</w:t>
    </w:r>
    <w:r>
      <w:rPr>
        <w:rFonts w:ascii="Inter" w:cs="Inter" w:eastAsia="Inter" w:hAnsi="Inter"/>
        <w:color w:val="888888"/>
        <w:sz w:val="14"/>
        <w:szCs w:val="14"/>
      </w:rPr>
      <w:t xml:space="preserve">	Seite / Page </w:t>
    </w:r>
    <w:r>
      <w:rPr>
        <w:rFonts w:ascii="Inter" w:cs="Inter" w:eastAsia="Inter" w:hAnsi="Inter"/>
        <w:color w:val="888888"/>
        <w:sz w:val="14"/>
        <w:szCs w:val="14"/>
      </w:rPr>
      <w:fldChar w:fldCharType="begin"/>
      <w:instrText xml:space="preserve">PAGE</w:instrText>
      <w:fldChar w:fldCharType="separate"/>
      <w:fldChar w:fldCharType="end"/>
    </w:r>
    <w:r>
      <w:rPr>
        <w:rFonts w:ascii="Inter" w:cs="Inter" w:eastAsia="Inter" w:hAnsi="Inter"/>
        <w:color w:val="888888"/>
        <w:sz w:val="14"/>
        <w:szCs w:val="14"/>
      </w:rPr>
      <w:t xml:space="preserve"> / </w:t>
    </w:r>
    <w:r>
      <w:rPr>
        <w:rFonts w:ascii="Inter" w:cs="Inter" w:eastAsia="Inter" w:hAnsi="Inter"/>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B47" w:sz="8" w:space="6"/>
      </w:pBdr>
      <w:tabs>
        <w:tab w:val="right" w:pos="10206"/>
      </w:tabs>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 cy="209550"/>
                  </a:xfrm>
                  <a:prstGeom prst="rect">
                    <a:avLst/>
                  </a:prstGeom>
                </pic:spPr>
              </pic:pic>
            </a:graphicData>
          </a:graphic>
        </wp:inline>
      </w:drawing>
    </w:r>
    <w:r>
      <w:rPr>
        <w:rFonts w:ascii="Inter" w:cs="Inter" w:eastAsia="Inter" w:hAnsi="Inter"/>
        <w:b/>
        <w:bCs/>
        <w:color w:val="123330"/>
        <w:sz w:val="24"/>
        <w:szCs w:val="24"/>
      </w:rPr>
      <w:t xml:space="preserve">  HireGermany</w:t>
    </w:r>
    <w:r>
      <w:rPr>
        <w:rFonts w:ascii="Inter" w:cs="Inter" w:eastAsia="Inter" w:hAnsi="Inter"/>
        <w:color w:val="667085"/>
        <w:sz w:val="15"/>
        <w:szCs w:val="15"/>
      </w:rPr>
      <w:t xml:space="preserve">   ·  a TaxGermany product</w:t>
    </w:r>
    <w:r>
      <w:rPr>
        <w:rFonts w:ascii="Inter" w:cs="Inter" w:eastAsia="Inter" w:hAnsi="Inter"/>
        <w:color w:val="667085"/>
        <w:sz w:val="15"/>
        <w:szCs w:val="15"/>
      </w:rPr>
      <w:t xml:space="preserve">	Vollmacht Sozialversicherung / Social Security Power of Attorney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c46ec9e316d440423a1c29e547587c53099b9c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Sozialversicherung / Social Security Power of Attorney</dc:title>
  <dc:creator>HireGermany</dc:creator>
  <cp:lastModifiedBy>Un-named</cp:lastModifiedBy>
  <cp:revision>1</cp:revision>
  <dcterms:created xsi:type="dcterms:W3CDTF">2026-09-24T16:21:55.414Z</dcterms:created>
  <dcterms:modified xsi:type="dcterms:W3CDTF">2026-09-24T16:21:55.414Z</dcterms:modified>
</cp:coreProperties>
</file>

<file path=docProps/custom.xml><?xml version="1.0" encoding="utf-8"?>
<Properties xmlns="http://schemas.openxmlformats.org/officeDocument/2006/custom-properties" xmlns:vt="http://schemas.openxmlformats.org/officeDocument/2006/docPropsVTypes"/>
</file>